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C1" w:rsidRDefault="00A9216C" w:rsidP="00D97FC1">
      <w:pPr>
        <w:pStyle w:val="Default"/>
        <w:spacing w:after="45"/>
        <w:rPr>
          <w:b/>
          <w:sz w:val="28"/>
          <w:szCs w:val="28"/>
        </w:rPr>
      </w:pPr>
      <w:r w:rsidRPr="00D97FC1">
        <w:rPr>
          <w:b/>
          <w:sz w:val="28"/>
          <w:szCs w:val="28"/>
        </w:rPr>
        <w:t>Klíčové téma:</w:t>
      </w:r>
      <w:r w:rsidR="00FA1541" w:rsidRPr="00D97FC1">
        <w:rPr>
          <w:b/>
          <w:sz w:val="28"/>
          <w:szCs w:val="28"/>
        </w:rPr>
        <w:t xml:space="preserve"> </w:t>
      </w:r>
    </w:p>
    <w:p w:rsidR="00D97FC1" w:rsidRPr="00D97FC1" w:rsidRDefault="00D97FC1" w:rsidP="00D97FC1">
      <w:pPr>
        <w:pStyle w:val="Default"/>
        <w:spacing w:after="45"/>
        <w:rPr>
          <w:b/>
          <w:color w:val="0070C0"/>
          <w:sz w:val="28"/>
          <w:szCs w:val="28"/>
        </w:rPr>
      </w:pPr>
      <w:r w:rsidRPr="00D97FC1">
        <w:rPr>
          <w:b/>
          <w:color w:val="0070C0"/>
          <w:sz w:val="28"/>
          <w:szCs w:val="28"/>
        </w:rPr>
        <w:t>Rozvoj potenciálu každého dítěte/žáka/studenta/účastníka neformálního vzdělávání (podpora individualizace výuky a vyššího využívání didaktických postupů umožňujících vzdělávání heterogenních kolektivů)</w:t>
      </w:r>
      <w:r w:rsidR="004C16B7">
        <w:rPr>
          <w:rStyle w:val="Znakapoznpodarou"/>
          <w:b/>
          <w:color w:val="0070C0"/>
          <w:sz w:val="28"/>
          <w:szCs w:val="28"/>
        </w:rPr>
        <w:footnoteReference w:id="1"/>
      </w:r>
    </w:p>
    <w:p w:rsidR="00FA1541" w:rsidRPr="00D97FC1" w:rsidRDefault="00FA1541" w:rsidP="00FA1541">
      <w:pPr>
        <w:pStyle w:val="Default"/>
        <w:rPr>
          <w:b/>
          <w:color w:val="0070C0"/>
          <w:sz w:val="28"/>
          <w:szCs w:val="28"/>
        </w:rPr>
      </w:pPr>
    </w:p>
    <w:p w:rsidR="00A9216C" w:rsidRPr="00EE17FA" w:rsidRDefault="000277B8">
      <w:pPr>
        <w:rPr>
          <w:b/>
          <w:sz w:val="28"/>
          <w:szCs w:val="28"/>
        </w:rPr>
      </w:pPr>
      <w:r w:rsidRPr="00EE17FA">
        <w:rPr>
          <w:b/>
          <w:sz w:val="28"/>
          <w:szCs w:val="28"/>
        </w:rPr>
        <w:t xml:space="preserve">Pojetí </w:t>
      </w:r>
      <w:r w:rsidR="008625E8" w:rsidRPr="00EE17FA">
        <w:rPr>
          <w:b/>
          <w:sz w:val="28"/>
          <w:szCs w:val="28"/>
        </w:rPr>
        <w:t>tematické oblasti</w:t>
      </w:r>
    </w:p>
    <w:p w:rsidR="00A9216C" w:rsidRDefault="00A9216C">
      <w:pPr>
        <w:rPr>
          <w:b/>
          <w:i/>
          <w:color w:val="0070C0"/>
          <w:sz w:val="24"/>
          <w:szCs w:val="24"/>
        </w:rPr>
      </w:pPr>
      <w:r w:rsidRPr="000973E4">
        <w:rPr>
          <w:b/>
          <w:i/>
          <w:color w:val="0070C0"/>
          <w:sz w:val="24"/>
          <w:szCs w:val="24"/>
        </w:rPr>
        <w:t>Proč je tato oblast důležitá?</w:t>
      </w:r>
    </w:p>
    <w:p w:rsidR="000766F0" w:rsidRDefault="000766F0" w:rsidP="00D7271C">
      <w:pPr>
        <w:jc w:val="both"/>
        <w:rPr>
          <w:rStyle w:val="A10"/>
          <w:b/>
          <w:color w:val="auto"/>
          <w:sz w:val="22"/>
          <w:szCs w:val="22"/>
        </w:rPr>
      </w:pPr>
      <w:r w:rsidRPr="00F93204">
        <w:rPr>
          <w:rStyle w:val="A10"/>
          <w:b/>
          <w:color w:val="auto"/>
          <w:sz w:val="22"/>
          <w:szCs w:val="22"/>
        </w:rPr>
        <w:t xml:space="preserve">Jedním z cílů Strategie 2030+ je zaručit spravedlivé šance dosáhnout na kvalitní vzdělání všem dětem v ČR, zlepšit </w:t>
      </w:r>
      <w:r w:rsidRPr="00445957">
        <w:rPr>
          <w:rStyle w:val="A10"/>
          <w:b/>
          <w:color w:val="auto"/>
          <w:sz w:val="22"/>
          <w:szCs w:val="22"/>
        </w:rPr>
        <w:t xml:space="preserve">kvalitu zaostávajících </w:t>
      </w:r>
      <w:r w:rsidRPr="00F93204">
        <w:rPr>
          <w:rStyle w:val="A10"/>
          <w:b/>
          <w:color w:val="auto"/>
          <w:sz w:val="22"/>
          <w:szCs w:val="22"/>
        </w:rPr>
        <w:t>částí vzdělávací soustavy a maximáln</w:t>
      </w:r>
      <w:r w:rsidR="002447A1">
        <w:rPr>
          <w:rStyle w:val="A10"/>
          <w:b/>
          <w:color w:val="auto"/>
          <w:sz w:val="22"/>
          <w:szCs w:val="22"/>
        </w:rPr>
        <w:t>ě rozvino</w:t>
      </w:r>
      <w:r w:rsidR="00F36827">
        <w:rPr>
          <w:rStyle w:val="A10"/>
          <w:b/>
          <w:color w:val="auto"/>
          <w:sz w:val="22"/>
          <w:szCs w:val="22"/>
        </w:rPr>
        <w:t>ut potenciál každého žáka</w:t>
      </w:r>
      <w:r w:rsidR="002447A1">
        <w:rPr>
          <w:rStyle w:val="A10"/>
          <w:b/>
          <w:color w:val="auto"/>
          <w:sz w:val="22"/>
          <w:szCs w:val="22"/>
        </w:rPr>
        <w:t xml:space="preserve"> vstupujícího</w:t>
      </w:r>
      <w:r w:rsidRPr="00F93204">
        <w:rPr>
          <w:rStyle w:val="A10"/>
          <w:b/>
          <w:color w:val="auto"/>
          <w:sz w:val="22"/>
          <w:szCs w:val="22"/>
        </w:rPr>
        <w:t xml:space="preserve"> do vzdělávání.</w:t>
      </w:r>
    </w:p>
    <w:p w:rsidR="00EE25F7" w:rsidRDefault="00EE25F7" w:rsidP="00D7271C">
      <w:pPr>
        <w:jc w:val="both"/>
        <w:rPr>
          <w:b/>
          <w:color w:val="FF0000"/>
        </w:rPr>
      </w:pPr>
      <w:r w:rsidRPr="00F93204">
        <w:t>Modernizace cílů a obsahů vzdělá</w:t>
      </w:r>
      <w:r w:rsidR="008441DC">
        <w:t>vání, včetně forem a metod výuky</w:t>
      </w:r>
      <w:r w:rsidRPr="00F93204">
        <w:t xml:space="preserve"> </w:t>
      </w:r>
      <w:r w:rsidR="008441DC">
        <w:t xml:space="preserve">ve školách </w:t>
      </w:r>
      <w:r w:rsidRPr="00F93204">
        <w:t>na všech úrovních vzdělávací soustavy (tj. od předškolního vzdělávání po terciární a další vzdělávání),</w:t>
      </w:r>
      <w:r>
        <w:t xml:space="preserve"> individualizace výuky a zavádění didaktických postupů umožňujících vz</w:t>
      </w:r>
      <w:r w:rsidR="008441DC">
        <w:t xml:space="preserve">dělávání různorodých kolektivů </w:t>
      </w:r>
      <w:r w:rsidRPr="00F93204">
        <w:t xml:space="preserve">jsou spolu se zajištěním spravedlivého přístupu ke kvalitnímu vzdělání a snížením segregace, nerovností a rizika vyloučení ohrožených skupin ze vzdělávání nezbytným předpokladem pro </w:t>
      </w:r>
      <w:r w:rsidRPr="008331CE">
        <w:rPr>
          <w:b/>
        </w:rPr>
        <w:t>zajištění kvalitního života a dlouhodobé uplatnitelnosti jednotlivce ve společnosti a na trhu práce</w:t>
      </w:r>
      <w:r w:rsidRPr="00F93204">
        <w:t xml:space="preserve">. </w:t>
      </w:r>
    </w:p>
    <w:p w:rsidR="006D7057" w:rsidRPr="006D7057" w:rsidRDefault="00EE25F7" w:rsidP="00D7271C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t>„</w:t>
      </w:r>
      <w:r w:rsidR="006D7057" w:rsidRPr="006D7057">
        <w:t xml:space="preserve">Cílem vzdělávání v následující dekádě je </w:t>
      </w:r>
      <w:r w:rsidR="006D7057" w:rsidRPr="00F36827">
        <w:rPr>
          <w:b/>
        </w:rPr>
        <w:t>základními a nepostradatelnými kompetencemi</w:t>
      </w:r>
      <w:r w:rsidR="006D7057" w:rsidRPr="006D7057">
        <w:t xml:space="preserve"> vybavený a motivovaný jedinec, který dokáže v co nejvyšší míře využít svůj potenciál v dynamicky se měnícím světě ve prospěch jak svého vlastního rozvoje, tak s ohledem na druhé a ve pr</w:t>
      </w:r>
      <w:r w:rsidR="006D7057">
        <w:t>ospěch rozvoje celé společnosti“. (Strategie 2030+).</w:t>
      </w:r>
    </w:p>
    <w:p w:rsidR="008441DC" w:rsidRPr="008441DC" w:rsidRDefault="008441DC" w:rsidP="00D7271C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8441DC">
        <w:rPr>
          <w:b/>
        </w:rPr>
        <w:t xml:space="preserve">Pro rozvoj </w:t>
      </w:r>
      <w:r w:rsidR="00116490" w:rsidRPr="008441DC">
        <w:rPr>
          <w:b/>
        </w:rPr>
        <w:t xml:space="preserve">potenciálu každého </w:t>
      </w:r>
      <w:r w:rsidRPr="008441DC">
        <w:rPr>
          <w:b/>
        </w:rPr>
        <w:t>jednotlivce je prospěšné propojování formálního a neformálního vzdělávání.</w:t>
      </w:r>
    </w:p>
    <w:p w:rsidR="008441DC" w:rsidRPr="008441DC" w:rsidRDefault="008441DC" w:rsidP="00D7271C">
      <w:pPr>
        <w:autoSpaceDE w:val="0"/>
        <w:autoSpaceDN w:val="0"/>
        <w:adjustRightInd w:val="0"/>
        <w:spacing w:after="0" w:line="240" w:lineRule="auto"/>
        <w:jc w:val="both"/>
        <w:rPr>
          <w:color w:val="00B050"/>
        </w:rPr>
      </w:pPr>
    </w:p>
    <w:p w:rsidR="008653AE" w:rsidRDefault="008653AE" w:rsidP="00D727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36827">
        <w:rPr>
          <w:rFonts w:cstheme="minorHAnsi"/>
        </w:rPr>
        <w:t xml:space="preserve">Význam organizací v neformálním vzdělávání není jen v tom, že přímo pracují s dětmi a mládeží v jejich volném čase a prostřednictvím společných prožitků je vychovávají, ale také v tom, že většinu těchto dětí ovlivní i pro období dospívání a v jejich celoživotním směřování. </w:t>
      </w:r>
      <w:r w:rsidRPr="00F36827">
        <w:rPr>
          <w:rFonts w:cstheme="minorHAnsi"/>
          <w:b/>
        </w:rPr>
        <w:t>Tito aktéři přinášejí do vzdělávání to, co je v dnešní době velmi potřebné a žádané a často v oblasti formálního vzdělávání chybí.</w:t>
      </w:r>
      <w:r w:rsidRPr="00F36827">
        <w:rPr>
          <w:rFonts w:cstheme="minorHAnsi"/>
        </w:rPr>
        <w:t xml:space="preserve"> Je to mj. výchova prožitkem (zážitková pedagogika), výchova k zodpovědnosti za sebe i za druhé, výchova formou přímého kontaktu dětí a mladých lidí s přírodou, výchova k dobrovolnictví, vedení k participaci apod.</w:t>
      </w:r>
    </w:p>
    <w:p w:rsidR="003C7BBF" w:rsidRPr="003C7BBF" w:rsidRDefault="00C25577" w:rsidP="00D727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Style w:val="A10"/>
          <w:rFonts w:ascii="Calibri" w:eastAsia="Calibri" w:hAnsi="Calibri" w:cs="Calibri"/>
          <w:sz w:val="22"/>
          <w:szCs w:val="22"/>
        </w:rPr>
        <w:t xml:space="preserve">Podporovat proto učitele, aby </w:t>
      </w:r>
      <w:r w:rsidR="003C7BBF" w:rsidRPr="003C7BBF">
        <w:rPr>
          <w:rStyle w:val="A10"/>
          <w:rFonts w:ascii="Calibri" w:eastAsia="Calibri" w:hAnsi="Calibri" w:cs="Calibri"/>
          <w:sz w:val="22"/>
          <w:szCs w:val="22"/>
        </w:rPr>
        <w:t xml:space="preserve"> </w:t>
      </w:r>
      <w:r w:rsidR="008D6162">
        <w:rPr>
          <w:rStyle w:val="A10"/>
          <w:rFonts w:ascii="Calibri" w:eastAsia="Calibri" w:hAnsi="Calibri" w:cs="Calibri"/>
          <w:sz w:val="22"/>
          <w:szCs w:val="22"/>
        </w:rPr>
        <w:t xml:space="preserve">do své výuky </w:t>
      </w:r>
      <w:r w:rsidR="003C7BBF" w:rsidRPr="003C7BBF">
        <w:rPr>
          <w:rStyle w:val="A10"/>
          <w:rFonts w:ascii="Calibri" w:eastAsia="Calibri" w:hAnsi="Calibri" w:cs="Calibri"/>
          <w:sz w:val="22"/>
          <w:szCs w:val="22"/>
        </w:rPr>
        <w:t xml:space="preserve">zařazovali </w:t>
      </w:r>
      <w:r w:rsidR="003C7BBF" w:rsidRPr="00C25577">
        <w:rPr>
          <w:rStyle w:val="A10"/>
          <w:rFonts w:ascii="Calibri" w:eastAsia="Calibri" w:hAnsi="Calibri" w:cs="Calibri"/>
          <w:b/>
          <w:sz w:val="22"/>
          <w:szCs w:val="22"/>
        </w:rPr>
        <w:t>prvky  nefo</w:t>
      </w:r>
      <w:r w:rsidR="008D6162">
        <w:rPr>
          <w:rStyle w:val="A10"/>
          <w:rFonts w:ascii="Calibri" w:eastAsia="Calibri" w:hAnsi="Calibri" w:cs="Calibri"/>
          <w:b/>
          <w:sz w:val="22"/>
          <w:szCs w:val="22"/>
        </w:rPr>
        <w:t>rmálního vzdělávání.</w:t>
      </w:r>
    </w:p>
    <w:p w:rsidR="008653AE" w:rsidRPr="00F36827" w:rsidRDefault="008653AE" w:rsidP="00D727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F0A54" w:rsidRPr="00F36827" w:rsidRDefault="008653AE" w:rsidP="00D727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F36827">
        <w:rPr>
          <w:rFonts w:cstheme="minorHAnsi"/>
        </w:rPr>
        <w:t xml:space="preserve">Neformální vzdělávání se odehrává v mnoha různých formách. Od malých individuálních či skupinových aktivit přes vzdělávací programy, časově omezené či dlouhodobé, implementované do formálního školského systému, nebo naopak programy a volnočasové aktivity zcela oddělené od vzdělávání ve školách. I ty však formální vzdělávání doplňují, neboť prostřednictvím neformálního vzdělávání se významně posilují klíčové životní kompetence (tzv. </w:t>
      </w:r>
      <w:proofErr w:type="spellStart"/>
      <w:r w:rsidRPr="00F36827">
        <w:rPr>
          <w:rFonts w:cstheme="minorHAnsi"/>
        </w:rPr>
        <w:t>life</w:t>
      </w:r>
      <w:proofErr w:type="spellEnd"/>
      <w:r w:rsidRPr="00F36827">
        <w:rPr>
          <w:rFonts w:cstheme="minorHAnsi"/>
        </w:rPr>
        <w:t xml:space="preserve"> </w:t>
      </w:r>
      <w:proofErr w:type="spellStart"/>
      <w:r w:rsidRPr="00F36827">
        <w:rPr>
          <w:rFonts w:cstheme="minorHAnsi"/>
        </w:rPr>
        <w:t>skills</w:t>
      </w:r>
      <w:proofErr w:type="spellEnd"/>
      <w:r w:rsidRPr="00F36827">
        <w:rPr>
          <w:rFonts w:cstheme="minorHAnsi"/>
        </w:rPr>
        <w:t xml:space="preserve">), rozvoj charakteru, odpovědnosti, zdravého životního stylu, adaptabilita, odolnost, vytrvalost, komunikace, kreativita, práce v týmu, řešení problémů, poznání silných a slabých stránek </w:t>
      </w:r>
      <w:r w:rsidR="00EE25F7" w:rsidRPr="00F36827">
        <w:rPr>
          <w:rFonts w:cstheme="minorHAnsi"/>
        </w:rPr>
        <w:t xml:space="preserve">apod. </w:t>
      </w:r>
      <w:r w:rsidR="00816B6A" w:rsidRPr="00F36827">
        <w:rPr>
          <w:rFonts w:cstheme="minorHAnsi"/>
        </w:rPr>
        <w:t xml:space="preserve">Smysluplné využívání volného času je dlouhodobě osvědčenou a efektivní formou prevence vůči negativním vlivům. </w:t>
      </w:r>
      <w:r w:rsidR="00816B6A" w:rsidRPr="00F36827">
        <w:rPr>
          <w:rFonts w:cstheme="minorHAnsi"/>
          <w:b/>
        </w:rPr>
        <w:t>Neformální vzdělávání zároveň plní roli „záchranné sítě“ pro ty, kteří jsou neúspěšní ve formálním vzdělávání (ať už tím, že jej předčasně opouštějí, nebo tím, že nezažijí úspěch).</w:t>
      </w:r>
    </w:p>
    <w:p w:rsidR="007A00EB" w:rsidRPr="00F36827" w:rsidRDefault="007A00EB" w:rsidP="00D7271C">
      <w:pPr>
        <w:jc w:val="both"/>
        <w:rPr>
          <w:b/>
          <w:i/>
          <w:sz w:val="24"/>
          <w:szCs w:val="24"/>
        </w:rPr>
      </w:pPr>
    </w:p>
    <w:p w:rsidR="00BF0A54" w:rsidRDefault="00BF0A54" w:rsidP="00D7271C">
      <w:pPr>
        <w:jc w:val="both"/>
        <w:rPr>
          <w:b/>
          <w:i/>
          <w:color w:val="0070C0"/>
          <w:sz w:val="24"/>
          <w:szCs w:val="24"/>
        </w:rPr>
      </w:pPr>
      <w:r w:rsidRPr="000F4C80">
        <w:rPr>
          <w:b/>
          <w:i/>
          <w:color w:val="0070C0"/>
          <w:sz w:val="24"/>
          <w:szCs w:val="24"/>
        </w:rPr>
        <w:t>Co tuto oblast charakterizuje?</w:t>
      </w:r>
    </w:p>
    <w:p w:rsidR="00BF0A54" w:rsidRPr="00F93204" w:rsidRDefault="00BF0A54" w:rsidP="00D7271C">
      <w:pPr>
        <w:jc w:val="both"/>
      </w:pPr>
      <w:r w:rsidRPr="00F93204">
        <w:rPr>
          <w:b/>
        </w:rPr>
        <w:t>Ve Strategii 2030+</w:t>
      </w:r>
      <w:r w:rsidRPr="00F93204">
        <w:t xml:space="preserve"> se uvádí, že ČR patří mezi státy </w:t>
      </w:r>
      <w:r w:rsidRPr="00F36827">
        <w:rPr>
          <w:b/>
        </w:rPr>
        <w:t>s největšími vzdělávacími nerovnostmi</w:t>
      </w:r>
      <w:r w:rsidRPr="00F93204">
        <w:t xml:space="preserve">, které se projevují výraznou závislostí výsledků vzdělávání na sociálním statusu rodičů, značnými rozdíly mezi výsledky žáků z různých škol i regionů a nízkou mezigenerační mobilitou ve vzdělávání, jež je způsobena nízkou schopností vzdělávacího systému vyrovnávat sociální status rodiny a motivovat žáky k dosažení vyšších stupňů vzdělání. </w:t>
      </w:r>
    </w:p>
    <w:p w:rsidR="00BF0A54" w:rsidRPr="00F93204" w:rsidRDefault="00BF0A54" w:rsidP="00D7271C">
      <w:pPr>
        <w:jc w:val="both"/>
      </w:pPr>
      <w:r w:rsidRPr="00F93204">
        <w:t>Důsledkem je relativně vysoký počet žáků, kteří na konci základní školy dosahují velmi nízké úrovně základních typů gramotností. Narůstající regionální disparity v regionálním školství lze dokladovat na jednotlivých indikátorech vzdělávací soustavy (např</w:t>
      </w:r>
      <w:r w:rsidRPr="004C6166">
        <w:t xml:space="preserve">. </w:t>
      </w:r>
      <w:r w:rsidR="00ED5BDD" w:rsidRPr="004C6166">
        <w:t xml:space="preserve">nevyhovující </w:t>
      </w:r>
      <w:r w:rsidRPr="004C6166">
        <w:t xml:space="preserve">oborová struktura, </w:t>
      </w:r>
      <w:r w:rsidRPr="00F93204">
        <w:t xml:space="preserve">charakteristika pedagogických pracovníků, míra předčasných odchodů ze vzdělávání) i samotných výsledcích vzdělávání z plošných i výběrových šetření. </w:t>
      </w:r>
    </w:p>
    <w:p w:rsidR="00BF0A54" w:rsidRPr="000F7C77" w:rsidRDefault="00BF0A54" w:rsidP="00D7271C">
      <w:pPr>
        <w:jc w:val="both"/>
        <w:rPr>
          <w:b/>
        </w:rPr>
      </w:pPr>
      <w:r w:rsidRPr="00F93204">
        <w:t xml:space="preserve">Vnější diferenciace ve vzdělávání je </w:t>
      </w:r>
      <w:r w:rsidRPr="00666FFB">
        <w:t xml:space="preserve">prohlubována také </w:t>
      </w:r>
      <w:r w:rsidR="00F65611" w:rsidRPr="00666FFB">
        <w:t>r</w:t>
      </w:r>
      <w:r w:rsidR="00ED5BDD" w:rsidRPr="00666FFB">
        <w:t>ůznou kva</w:t>
      </w:r>
      <w:r w:rsidR="00F65611" w:rsidRPr="00666FFB">
        <w:t xml:space="preserve">litou základních škol v návaznosti </w:t>
      </w:r>
      <w:r w:rsidR="00ED5BDD" w:rsidRPr="00666FFB">
        <w:t xml:space="preserve">na širší socioekonomický kontext </w:t>
      </w:r>
      <w:r w:rsidRPr="00F93204">
        <w:t xml:space="preserve">a nedostatečnou individualizací, které mimo jiné přispívají k odchodům aspirujících žáků na víceletá gymnázia či mimo veřejné školství. Dalším z důvodů horších výsledků některých regionů a škol a neustále se prohlubujících nerovností v kvalitě vzdělávání mezi jednotlivými kraji a školami je </w:t>
      </w:r>
      <w:r w:rsidRPr="000F7C77">
        <w:rPr>
          <w:b/>
        </w:rPr>
        <w:t>výrazný nedostatek kvalifikovaných a kvalitních pedagogů v konkrétních oblastech a školách.</w:t>
      </w:r>
    </w:p>
    <w:p w:rsidR="0043350E" w:rsidRPr="00D3766C" w:rsidRDefault="0043350E" w:rsidP="00D7271C">
      <w:pPr>
        <w:pStyle w:val="Pa10"/>
        <w:spacing w:after="20"/>
        <w:jc w:val="both"/>
        <w:rPr>
          <w:rFonts w:asciiTheme="minorHAnsi" w:hAnsiTheme="minorHAnsi" w:cstheme="minorHAnsi"/>
          <w:iCs/>
          <w:sz w:val="22"/>
          <w:szCs w:val="22"/>
          <w:bdr w:val="none" w:sz="0" w:space="0" w:color="auto" w:frame="1"/>
          <w:shd w:val="clear" w:color="auto" w:fill="FFFFFF"/>
        </w:rPr>
      </w:pPr>
      <w:r w:rsidRPr="00EA1793">
        <w:rPr>
          <w:rFonts w:asciiTheme="minorHAnsi" w:hAnsiTheme="minorHAnsi" w:cstheme="minorHAnsi"/>
          <w:sz w:val="22"/>
          <w:szCs w:val="22"/>
        </w:rPr>
        <w:t xml:space="preserve">Velkým </w:t>
      </w:r>
      <w:r w:rsidRPr="00EA1793">
        <w:rPr>
          <w:rFonts w:asciiTheme="minorHAnsi" w:hAnsiTheme="minorHAnsi" w:cstheme="minorHAnsi"/>
          <w:b/>
          <w:sz w:val="22"/>
          <w:szCs w:val="22"/>
        </w:rPr>
        <w:t>problémem středního vzdělávání</w:t>
      </w:r>
      <w:r w:rsidRPr="00EA1793">
        <w:rPr>
          <w:rFonts w:asciiTheme="minorHAnsi" w:hAnsiTheme="minorHAnsi" w:cstheme="minorHAnsi"/>
          <w:sz w:val="22"/>
          <w:szCs w:val="22"/>
        </w:rPr>
        <w:t xml:space="preserve"> je </w:t>
      </w:r>
      <w:r w:rsidRPr="00EA1793">
        <w:rPr>
          <w:rStyle w:val="A10"/>
          <w:rFonts w:asciiTheme="minorHAnsi" w:hAnsiTheme="minorHAnsi" w:cstheme="minorHAnsi"/>
          <w:color w:val="auto"/>
          <w:sz w:val="22"/>
          <w:szCs w:val="22"/>
        </w:rPr>
        <w:t>narůstající počet žáků, kteří ukončí vzdělávání bez úspě</w:t>
      </w:r>
      <w:r w:rsidR="00EA1793" w:rsidRPr="00EA1793">
        <w:rPr>
          <w:rStyle w:val="A10"/>
          <w:rFonts w:asciiTheme="minorHAnsi" w:hAnsiTheme="minorHAnsi" w:cstheme="minorHAnsi"/>
          <w:color w:val="auto"/>
          <w:sz w:val="22"/>
          <w:szCs w:val="22"/>
        </w:rPr>
        <w:t>šně dokončené střední školy,</w:t>
      </w:r>
      <w:r w:rsidR="00EA1793" w:rsidRPr="00EA1793">
        <w:rPr>
          <w:rStyle w:val="A10"/>
          <w:rFonts w:ascii="Calibri" w:eastAsia="Calibri" w:hAnsi="Calibri" w:cs="Calibri"/>
          <w:iCs/>
          <w:sz w:val="22"/>
          <w:szCs w:val="22"/>
        </w:rPr>
        <w:t xml:space="preserve"> a to zejména ve strukturálně postižených regionech. </w:t>
      </w:r>
      <w:r w:rsidR="00283ED1" w:rsidRPr="00EA1793">
        <w:rPr>
          <w:rStyle w:val="A10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83ED1" w:rsidRPr="00EA1793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Za hlavní faktory ovlivňující míru odchodů ze vzdělávání  jsou považovány </w:t>
      </w:r>
      <w:r w:rsidR="00283ED1" w:rsidRPr="00EA1793">
        <w:rPr>
          <w:rFonts w:asciiTheme="minorHAnsi" w:hAnsiTheme="minorHAnsi" w:cstheme="minorHAnsi"/>
          <w:iCs/>
          <w:sz w:val="22"/>
          <w:szCs w:val="22"/>
          <w:bdr w:val="none" w:sz="0" w:space="0" w:color="auto" w:frame="1"/>
          <w:shd w:val="clear" w:color="auto" w:fill="FFFFFF"/>
        </w:rPr>
        <w:t>neschopnost rodičů pomoci dítěti se školním učivem, špatný prospěch žáka, absence </w:t>
      </w:r>
      <w:r w:rsidR="00283ED1" w:rsidRPr="00EA1793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nebo </w:t>
      </w:r>
      <w:r w:rsidR="00283ED1" w:rsidRPr="00EA1793">
        <w:rPr>
          <w:rFonts w:asciiTheme="minorHAnsi" w:hAnsiTheme="minorHAnsi" w:cstheme="minorHAnsi"/>
          <w:iCs/>
          <w:sz w:val="22"/>
          <w:szCs w:val="22"/>
          <w:bdr w:val="none" w:sz="0" w:space="0" w:color="auto" w:frame="1"/>
          <w:shd w:val="clear" w:color="auto" w:fill="FFFFFF"/>
        </w:rPr>
        <w:t>neplnění školních povinností.</w:t>
      </w:r>
      <w:r w:rsidR="00E212C9" w:rsidRPr="00EA1793">
        <w:rPr>
          <w:rFonts w:asciiTheme="minorHAnsi" w:hAnsiTheme="minorHAnsi" w:cstheme="minorHAnsi"/>
          <w:i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D85237" w:rsidRPr="00D3766C">
        <w:rPr>
          <w:rFonts w:asciiTheme="minorHAnsi" w:hAnsiTheme="minorHAnsi" w:cstheme="minorHAnsi"/>
          <w:iCs/>
          <w:sz w:val="22"/>
          <w:szCs w:val="22"/>
          <w:bdr w:val="none" w:sz="0" w:space="0" w:color="auto" w:frame="1"/>
          <w:shd w:val="clear" w:color="auto" w:fill="FFFFFF"/>
        </w:rPr>
        <w:t>Předčasné odchody ze vzdělávání trápí především učňovské školství.</w:t>
      </w:r>
    </w:p>
    <w:p w:rsidR="00D3766C" w:rsidRPr="00F82547" w:rsidRDefault="004149B4" w:rsidP="00D3766C">
      <w:pPr>
        <w:pStyle w:val="Default"/>
        <w:rPr>
          <w:sz w:val="22"/>
          <w:szCs w:val="22"/>
        </w:rPr>
      </w:pPr>
      <w:r w:rsidRPr="00F82547">
        <w:rPr>
          <w:sz w:val="22"/>
          <w:szCs w:val="22"/>
        </w:rPr>
        <w:t xml:space="preserve">Zdroj: </w:t>
      </w:r>
      <w:hyperlink r:id="rId8" w:history="1">
        <w:r w:rsidR="00D3766C" w:rsidRPr="00F82547">
          <w:rPr>
            <w:rStyle w:val="Hypertextovodkaz"/>
            <w:sz w:val="22"/>
            <w:szCs w:val="22"/>
          </w:rPr>
          <w:t>Analýza obecná detail – Audit vzdělávacího systému 2021 (eduin.cz)</w:t>
        </w:r>
      </w:hyperlink>
    </w:p>
    <w:p w:rsidR="00F57260" w:rsidRPr="00F82547" w:rsidRDefault="00F57260" w:rsidP="00BD7E90">
      <w:pPr>
        <w:shd w:val="clear" w:color="auto" w:fill="FFFFFF"/>
        <w:spacing w:before="100" w:beforeAutospacing="1" w:after="100" w:afterAutospacing="1" w:line="288" w:lineRule="atLeast"/>
        <w:outlineLvl w:val="1"/>
        <w:rPr>
          <w:rFonts w:eastAsia="Times New Roman" w:cstheme="minorHAnsi"/>
          <w:b/>
          <w:bCs/>
          <w:lang w:eastAsia="cs-CZ"/>
        </w:rPr>
      </w:pPr>
      <w:bookmarkStart w:id="0" w:name="_GoBack"/>
      <w:bookmarkEnd w:id="0"/>
    </w:p>
    <w:p w:rsidR="00BD7E90" w:rsidRPr="00F36827" w:rsidRDefault="00BD7E90" w:rsidP="00BD7E90">
      <w:pPr>
        <w:shd w:val="clear" w:color="auto" w:fill="FFFFFF"/>
        <w:spacing w:before="100" w:beforeAutospacing="1" w:after="100" w:afterAutospacing="1" w:line="288" w:lineRule="atLeast"/>
        <w:outlineLvl w:val="1"/>
        <w:rPr>
          <w:rFonts w:eastAsia="Times New Roman" w:cstheme="minorHAnsi"/>
          <w:b/>
          <w:bCs/>
          <w:lang w:eastAsia="cs-CZ"/>
        </w:rPr>
      </w:pPr>
      <w:r w:rsidRPr="00F36827">
        <w:rPr>
          <w:rFonts w:eastAsia="Times New Roman" w:cstheme="minorHAnsi"/>
          <w:b/>
          <w:bCs/>
          <w:lang w:eastAsia="cs-CZ"/>
        </w:rPr>
        <w:lastRenderedPageBreak/>
        <w:t>Proč by nás měl zajímat každý neúspěšný žák?</w:t>
      </w:r>
    </w:p>
    <w:p w:rsidR="00283ED1" w:rsidRPr="00DC2D0C" w:rsidRDefault="00D85237" w:rsidP="00DC2D0C">
      <w:pPr>
        <w:shd w:val="clear" w:color="auto" w:fill="FFFFFF"/>
        <w:spacing w:before="100" w:beforeAutospacing="1" w:after="100" w:afterAutospacing="1" w:line="288" w:lineRule="atLeast"/>
        <w:jc w:val="both"/>
        <w:outlineLvl w:val="1"/>
        <w:rPr>
          <w:rFonts w:cstheme="minorHAnsi"/>
          <w:color w:val="191919"/>
          <w:shd w:val="clear" w:color="auto" w:fill="FFFFFF"/>
        </w:rPr>
      </w:pPr>
      <w:r w:rsidRPr="00D85237">
        <w:rPr>
          <w:rFonts w:cstheme="minorHAnsi"/>
          <w:color w:val="191919"/>
          <w:bdr w:val="none" w:sz="0" w:space="0" w:color="auto" w:frame="1"/>
          <w:shd w:val="clear" w:color="auto" w:fill="FFFFFF"/>
        </w:rPr>
        <w:t>Souhrnná analýza </w:t>
      </w:r>
      <w:hyperlink r:id="rId9" w:history="1">
        <w:r w:rsidRPr="00D85237">
          <w:rPr>
            <w:rStyle w:val="Hypertextovodkaz"/>
            <w:rFonts w:cstheme="minorHAnsi"/>
            <w:u w:val="none"/>
            <w:bdr w:val="none" w:sz="0" w:space="0" w:color="auto" w:frame="1"/>
            <w:shd w:val="clear" w:color="auto" w:fill="FFFFFF"/>
          </w:rPr>
          <w:t>Nerovnosti ve vzdělávání jako zdroj neefektivity</w:t>
        </w:r>
      </w:hyperlink>
      <w:r w:rsidRPr="00D85237">
        <w:rPr>
          <w:rFonts w:cstheme="minorHAnsi"/>
          <w:color w:val="191919"/>
          <w:bdr w:val="none" w:sz="0" w:space="0" w:color="auto" w:frame="1"/>
          <w:shd w:val="clear" w:color="auto" w:fill="FFFFFF"/>
        </w:rPr>
        <w:t xml:space="preserve"> (PAQ </w:t>
      </w:r>
      <w:proofErr w:type="spellStart"/>
      <w:r w:rsidRPr="00D85237">
        <w:rPr>
          <w:rFonts w:cstheme="minorHAnsi"/>
          <w:color w:val="191919"/>
          <w:bdr w:val="none" w:sz="0" w:space="0" w:color="auto" w:frame="1"/>
          <w:shd w:val="clear" w:color="auto" w:fill="FFFFFF"/>
        </w:rPr>
        <w:t>Research</w:t>
      </w:r>
      <w:proofErr w:type="spellEnd"/>
      <w:r w:rsidRPr="00D85237">
        <w:rPr>
          <w:rFonts w:cstheme="minorHAnsi"/>
          <w:color w:val="191919"/>
          <w:bdr w:val="none" w:sz="0" w:space="0" w:color="auto" w:frame="1"/>
          <w:shd w:val="clear" w:color="auto" w:fill="FFFFFF"/>
        </w:rPr>
        <w:t xml:space="preserve">, IDEA, 2020, autoři kapitol: </w:t>
      </w:r>
      <w:proofErr w:type="spellStart"/>
      <w:r w:rsidRPr="00D85237">
        <w:rPr>
          <w:rFonts w:cstheme="minorHAnsi"/>
          <w:color w:val="191919"/>
          <w:bdr w:val="none" w:sz="0" w:space="0" w:color="auto" w:frame="1"/>
          <w:shd w:val="clear" w:color="auto" w:fill="FFFFFF"/>
        </w:rPr>
        <w:t>Münich</w:t>
      </w:r>
      <w:proofErr w:type="spellEnd"/>
      <w:r w:rsidRPr="00D85237">
        <w:rPr>
          <w:rFonts w:cstheme="minorHAnsi"/>
          <w:color w:val="191919"/>
          <w:bdr w:val="none" w:sz="0" w:space="0" w:color="auto" w:frame="1"/>
          <w:shd w:val="clear" w:color="auto" w:fill="FFFFFF"/>
        </w:rPr>
        <w:t xml:space="preserve">, Krejčová, Grossman, Korbel) vytváří hypotetické scénáře dopadu investic do podpory nejslabších žáků a žáků opouštějících střední školy. </w:t>
      </w:r>
      <w:r w:rsidRPr="00D85237">
        <w:rPr>
          <w:rFonts w:cstheme="minorHAnsi"/>
          <w:color w:val="191919"/>
          <w:shd w:val="clear" w:color="auto" w:fill="FFFFFF"/>
        </w:rPr>
        <w:t>Projekce analýzy ukazují, že i drobné zlepšení nejméně gramotných patnáctiletých žáků by mohlo zvýšit budoucí roční HDP o 18 mld. Kč. Přestože se jedná o hypotézy s viditelnými výnosy až po roce 2050, je vidět, že investice do neúspěšných žáků je racionálním krokem. Potvrzení výnosů z popsaných investic je ještě lépe vidět, když se zaměříme na snahu snížit počet předčasných odchodů ze SŠ vzdělávání. Úspěšný středoškolák bez maturity</w:t>
      </w:r>
      <w:r>
        <w:rPr>
          <w:rFonts w:ascii="Arial" w:hAnsi="Arial" w:cs="Arial"/>
          <w:color w:val="191919"/>
          <w:shd w:val="clear" w:color="auto" w:fill="FFFFFF"/>
        </w:rPr>
        <w:t xml:space="preserve"> </w:t>
      </w:r>
      <w:r w:rsidRPr="00D85237">
        <w:rPr>
          <w:rFonts w:cstheme="minorHAnsi"/>
          <w:color w:val="191919"/>
          <w:shd w:val="clear" w:color="auto" w:fill="FFFFFF"/>
        </w:rPr>
        <w:t>přispěje oproti svému vrstevníkovi, který ze systému předčasně odejde, do státního rozpočtu o 2,3 milionu Kč více, u maturanta dokonce o 2,8 milionu Kč.</w:t>
      </w:r>
    </w:p>
    <w:p w:rsidR="00283ED1" w:rsidRPr="00283ED1" w:rsidRDefault="00FE2CDC" w:rsidP="00283ED1">
      <w:pPr>
        <w:pStyle w:val="Default"/>
      </w:pPr>
      <w:r>
        <w:t xml:space="preserve">                                                                                </w:t>
      </w:r>
      <w:r w:rsidR="00283ED1">
        <w:rPr>
          <w:noProof/>
          <w:lang w:eastAsia="cs-CZ"/>
        </w:rPr>
        <w:drawing>
          <wp:inline distT="0" distB="0" distL="0" distR="0" wp14:anchorId="293EAA0F" wp14:editId="640EB9A5">
            <wp:extent cx="2546350" cy="2628900"/>
            <wp:effectExtent l="0" t="0" r="6350" b="0"/>
            <wp:docPr id="2" name="obrázek 2" descr="https://audit.eduin.cz/2020/wp-content/uploads/2022/02/Nerovnosti_infografika_2021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udit.eduin.cz/2020/wp-content/uploads/2022/02/Nerovnosti_infografika_2021-1024x102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50E" w:rsidRDefault="0043350E" w:rsidP="00BF0A54"/>
    <w:p w:rsidR="00DC2D0C" w:rsidRDefault="00DC2D0C" w:rsidP="00DC2D0C">
      <w:pPr>
        <w:shd w:val="clear" w:color="auto" w:fill="FFFFFF"/>
        <w:spacing w:after="0" w:line="240" w:lineRule="auto"/>
        <w:rPr>
          <w:rFonts w:cstheme="minorHAnsi"/>
          <w:color w:val="191919"/>
          <w:bdr w:val="none" w:sz="0" w:space="0" w:color="auto" w:frame="1"/>
        </w:rPr>
      </w:pPr>
      <w:r w:rsidRPr="00DC2D0C">
        <w:rPr>
          <w:rFonts w:cstheme="minorHAnsi"/>
          <w:color w:val="191919"/>
          <w:bdr w:val="none" w:sz="0" w:space="0" w:color="auto" w:frame="1"/>
        </w:rPr>
        <w:t xml:space="preserve">Výčet problémů </w:t>
      </w:r>
      <w:r w:rsidRPr="00DC2D0C">
        <w:rPr>
          <w:rFonts w:cstheme="minorHAnsi"/>
          <w:b/>
          <w:color w:val="191919"/>
          <w:bdr w:val="none" w:sz="0" w:space="0" w:color="auto" w:frame="1"/>
        </w:rPr>
        <w:t>středního odborného školství</w:t>
      </w:r>
      <w:r w:rsidRPr="00DC2D0C">
        <w:rPr>
          <w:rFonts w:cstheme="minorHAnsi"/>
          <w:color w:val="191919"/>
          <w:bdr w:val="none" w:sz="0" w:space="0" w:color="auto" w:frame="1"/>
        </w:rPr>
        <w:t xml:space="preserve"> (p</w:t>
      </w:r>
      <w:r w:rsidRPr="00DC2D0C">
        <w:rPr>
          <w:rFonts w:eastAsia="Times New Roman" w:cstheme="minorHAnsi"/>
          <w:color w:val="191919"/>
          <w:bdr w:val="none" w:sz="0" w:space="0" w:color="auto" w:frame="1"/>
          <w:lang w:eastAsia="cs-CZ"/>
        </w:rPr>
        <w:t>říliš široká, neflexibilní nabídka oborů,</w:t>
      </w:r>
      <w:r w:rsidRPr="00DC2D0C">
        <w:rPr>
          <w:rFonts w:eastAsia="Times New Roman" w:cstheme="minorHAnsi"/>
          <w:color w:val="191919"/>
          <w:lang w:eastAsia="cs-CZ"/>
        </w:rPr>
        <w:t xml:space="preserve"> </w:t>
      </w:r>
      <w:r w:rsidRPr="00DC2D0C">
        <w:rPr>
          <w:rFonts w:eastAsia="Times New Roman" w:cstheme="minorHAnsi"/>
          <w:color w:val="191919"/>
          <w:bdr w:val="none" w:sz="0" w:space="0" w:color="auto" w:frame="1"/>
          <w:lang w:eastAsia="cs-CZ"/>
        </w:rPr>
        <w:t>přetrvávající malá pravděpodobnost uplatnění na trhu práce,</w:t>
      </w:r>
      <w:r w:rsidRPr="00DC2D0C">
        <w:rPr>
          <w:rFonts w:eastAsia="Times New Roman" w:cstheme="minorHAnsi"/>
          <w:color w:val="191919"/>
          <w:lang w:eastAsia="cs-CZ"/>
        </w:rPr>
        <w:t xml:space="preserve"> </w:t>
      </w:r>
      <w:r w:rsidRPr="00DC2D0C">
        <w:rPr>
          <w:rFonts w:eastAsia="Times New Roman" w:cstheme="minorHAnsi"/>
          <w:color w:val="191919"/>
          <w:bdr w:val="none" w:sz="0" w:space="0" w:color="auto" w:frame="1"/>
          <w:lang w:eastAsia="cs-CZ"/>
        </w:rPr>
        <w:t xml:space="preserve">malá prostupnost systému způsobená nedostatečně solidním všeobecným předmětovým základem, </w:t>
      </w:r>
      <w:r w:rsidRPr="00DC2D0C">
        <w:rPr>
          <w:rFonts w:cstheme="minorHAnsi"/>
          <w:b/>
          <w:bCs/>
          <w:color w:val="191919"/>
          <w:shd w:val="clear" w:color="auto" w:fill="FFFFFF"/>
        </w:rPr>
        <w:t>předčasné odchody žáků ze systému</w:t>
      </w:r>
      <w:r w:rsidRPr="00DC2D0C">
        <w:rPr>
          <w:rFonts w:cstheme="minorHAnsi"/>
          <w:color w:val="191919"/>
          <w:bdr w:val="none" w:sz="0" w:space="0" w:color="auto" w:frame="1"/>
          <w:shd w:val="clear" w:color="auto" w:fill="FFFFFF"/>
        </w:rPr>
        <w:t> a </w:t>
      </w:r>
      <w:r w:rsidRPr="00DC2D0C">
        <w:rPr>
          <w:rFonts w:cstheme="minorHAnsi"/>
          <w:b/>
          <w:bCs/>
          <w:color w:val="191919"/>
          <w:shd w:val="clear" w:color="auto" w:fill="FFFFFF"/>
        </w:rPr>
        <w:t xml:space="preserve">nízký společenský </w:t>
      </w:r>
      <w:r w:rsidRPr="00DC2D0C">
        <w:rPr>
          <w:rFonts w:cstheme="minorHAnsi"/>
          <w:b/>
          <w:bCs/>
          <w:color w:val="191919"/>
          <w:shd w:val="clear" w:color="auto" w:fill="FFFFFF"/>
        </w:rPr>
        <w:lastRenderedPageBreak/>
        <w:t>status učňů</w:t>
      </w:r>
      <w:r w:rsidRPr="00DC2D0C">
        <w:rPr>
          <w:rFonts w:cstheme="minorHAnsi"/>
          <w:color w:val="191919"/>
          <w:bdr w:val="none" w:sz="0" w:space="0" w:color="auto" w:frame="1"/>
          <w:shd w:val="clear" w:color="auto" w:fill="FFFFFF"/>
        </w:rPr>
        <w:t>)</w:t>
      </w:r>
      <w:r>
        <w:rPr>
          <w:rFonts w:cstheme="minorHAnsi"/>
          <w:color w:val="191919"/>
          <w:bdr w:val="none" w:sz="0" w:space="0" w:color="auto" w:frame="1"/>
          <w:shd w:val="clear" w:color="auto" w:fill="FFFFFF"/>
        </w:rPr>
        <w:t xml:space="preserve"> </w:t>
      </w:r>
      <w:r w:rsidRPr="00DC2D0C">
        <w:rPr>
          <w:rFonts w:cstheme="minorHAnsi"/>
          <w:color w:val="191919"/>
          <w:bdr w:val="none" w:sz="0" w:space="0" w:color="auto" w:frame="1"/>
        </w:rPr>
        <w:t xml:space="preserve">v porovnání s náklady státu na jednoho žáka bez středního vzdělání může sloužit k tomu, abychom si uvědomili, jak je změna systému a podpora ohrožených žáků nutná. </w:t>
      </w:r>
    </w:p>
    <w:p w:rsidR="005645CB" w:rsidRDefault="005645CB" w:rsidP="00DC2D0C">
      <w:pPr>
        <w:shd w:val="clear" w:color="auto" w:fill="FFFFFF"/>
        <w:spacing w:after="0" w:line="240" w:lineRule="auto"/>
        <w:rPr>
          <w:rFonts w:ascii="Calibri" w:eastAsia="Calibri" w:hAnsi="Calibri" w:cs="Calibri"/>
        </w:rPr>
      </w:pPr>
    </w:p>
    <w:p w:rsidR="00E6203B" w:rsidRPr="00DC2D0C" w:rsidRDefault="00E6203B" w:rsidP="00DC2D0C">
      <w:pPr>
        <w:shd w:val="clear" w:color="auto" w:fill="FFFFFF"/>
        <w:spacing w:after="0" w:line="240" w:lineRule="auto"/>
        <w:rPr>
          <w:rFonts w:eastAsia="Times New Roman" w:cstheme="minorHAnsi"/>
          <w:color w:val="191919"/>
          <w:lang w:eastAsia="cs-CZ"/>
        </w:rPr>
      </w:pPr>
      <w:r w:rsidRPr="005645CB">
        <w:rPr>
          <w:rFonts w:ascii="Calibri" w:eastAsia="Calibri" w:hAnsi="Calibri" w:cs="Calibri"/>
          <w:iCs/>
        </w:rPr>
        <w:t xml:space="preserve">Cílem je </w:t>
      </w:r>
      <w:r w:rsidR="005645CB" w:rsidRPr="005645CB">
        <w:rPr>
          <w:rFonts w:ascii="Calibri" w:eastAsia="Calibri" w:hAnsi="Calibri" w:cs="Calibri"/>
          <w:iCs/>
        </w:rPr>
        <w:t xml:space="preserve">proto </w:t>
      </w:r>
      <w:r w:rsidRPr="005645CB">
        <w:rPr>
          <w:rFonts w:ascii="Calibri" w:eastAsia="Calibri" w:hAnsi="Calibri" w:cs="Calibri"/>
          <w:b/>
          <w:iCs/>
        </w:rPr>
        <w:t>funkční, prostupná a atraktivní oborová soustava</w:t>
      </w:r>
      <w:r w:rsidRPr="005645CB">
        <w:rPr>
          <w:rFonts w:ascii="Calibri" w:eastAsia="Calibri" w:hAnsi="Calibri" w:cs="Calibri"/>
          <w:iCs/>
        </w:rPr>
        <w:t>, která prostřednictvím revize obsahů vzdělávání zajistí, aby byli jeho absolventi vybaveni kompetencemi pro další profesní i neprofesní vzdělávání, osobní život a dlouhodobou uplatnitelnost na trhu práce</w:t>
      </w:r>
      <w:r w:rsidR="00414810">
        <w:rPr>
          <w:rFonts w:ascii="Calibri" w:eastAsia="Calibri" w:hAnsi="Calibri" w:cs="Calibri"/>
          <w:i/>
          <w:iCs/>
        </w:rPr>
        <w:t>.</w:t>
      </w:r>
    </w:p>
    <w:p w:rsidR="00DC2D0C" w:rsidRDefault="00DC2D0C" w:rsidP="00BF0A54"/>
    <w:p w:rsidR="006F061E" w:rsidRDefault="003C4B02" w:rsidP="006F061E">
      <w:pPr>
        <w:jc w:val="both"/>
      </w:pPr>
      <w:r w:rsidRPr="00F36827">
        <w:t xml:space="preserve">Nedostatečně funkční je </w:t>
      </w:r>
      <w:r w:rsidRPr="00F36827">
        <w:rPr>
          <w:b/>
        </w:rPr>
        <w:t>p</w:t>
      </w:r>
      <w:r w:rsidR="00773C81" w:rsidRPr="00F36827">
        <w:rPr>
          <w:b/>
        </w:rPr>
        <w:t>ropojování formálního a neformálního vzdělávání</w:t>
      </w:r>
      <w:r w:rsidRPr="00F36827">
        <w:t xml:space="preserve">. Toto propojování je přitom </w:t>
      </w:r>
      <w:r w:rsidR="00773C81" w:rsidRPr="00F36827">
        <w:t>prospěšné pro obě oblasti vzdělávání, ale zejména pak pro děti a mládež. Naplňuje se již samotnou komunikací a spoluprací mezi pedagogickými pracovníky a dalšími pracovníky nebo dobrovolníky pracujícími s dětmi a mládeží. Nezbytně nutné je  zohledňování neformálně získaných znalostí a dovedností ve formálním vzdělávání žáka a hledání nových inovativních forem práce s dětmi a mládeží. Jak ve formálním, tak v neformálním vzdělávání musí práce s dětmi a mládeží přispívat k nastolení vztahů s dospělými založených na vzájemné důvěře napříč všemi generacemi, k budování zdravých vztahů s vrstevníky, stejně tak jako k vytváření bezpečného prostoru motivujícího mladé lidi k rozvoji jejich plného potenciálu.</w:t>
      </w:r>
    </w:p>
    <w:p w:rsidR="006F061E" w:rsidRDefault="006F061E" w:rsidP="006F061E">
      <w:pPr>
        <w:jc w:val="both"/>
        <w:rPr>
          <w:rFonts w:cstheme="minorHAnsi"/>
          <w:b/>
          <w:bCs/>
        </w:rPr>
      </w:pPr>
    </w:p>
    <w:p w:rsidR="00FD37A6" w:rsidRPr="006F061E" w:rsidRDefault="00FD37A6" w:rsidP="006F061E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Jaké jsou </w:t>
      </w:r>
      <w:r w:rsidR="007A5CA8">
        <w:rPr>
          <w:rFonts w:cstheme="minorHAnsi"/>
          <w:b/>
          <w:bCs/>
        </w:rPr>
        <w:t xml:space="preserve">priority </w:t>
      </w:r>
      <w:r>
        <w:rPr>
          <w:rFonts w:cstheme="minorHAnsi"/>
          <w:b/>
          <w:bCs/>
        </w:rPr>
        <w:t>vzdělávání?</w:t>
      </w:r>
    </w:p>
    <w:p w:rsidR="00846242" w:rsidRPr="001C6A85" w:rsidRDefault="00846242" w:rsidP="00D727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D37A6" w:rsidRPr="001C6A85" w:rsidRDefault="00FD37A6" w:rsidP="00D727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6A85">
        <w:rPr>
          <w:rFonts w:cstheme="minorHAnsi"/>
        </w:rPr>
        <w:t>Podporovat rovnost v přístupu ke vzdělávání na všech úrovních ško</w:t>
      </w:r>
      <w:r>
        <w:rPr>
          <w:rFonts w:cstheme="minorHAnsi"/>
        </w:rPr>
        <w:t xml:space="preserve">l, která umožní každému </w:t>
      </w:r>
      <w:r w:rsidRPr="001C6A85">
        <w:rPr>
          <w:rFonts w:cstheme="minorHAnsi"/>
        </w:rPr>
        <w:t>žákovi</w:t>
      </w:r>
      <w:r>
        <w:rPr>
          <w:rFonts w:cstheme="minorHAnsi"/>
        </w:rPr>
        <w:t xml:space="preserve"> </w:t>
      </w:r>
      <w:r w:rsidRPr="001C6A85">
        <w:rPr>
          <w:rFonts w:cstheme="minorHAnsi"/>
        </w:rPr>
        <w:t>plně rozvinout své schopnosti ve společnosti svých vrstevníků.</w:t>
      </w:r>
    </w:p>
    <w:p w:rsidR="00FD37A6" w:rsidRPr="001C6A85" w:rsidRDefault="00FD37A6" w:rsidP="00D727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6A85">
        <w:rPr>
          <w:rFonts w:cstheme="minorHAnsi"/>
        </w:rPr>
        <w:t>Zasazovat se o maximáln</w:t>
      </w:r>
      <w:r w:rsidR="00F36827">
        <w:rPr>
          <w:rFonts w:cstheme="minorHAnsi"/>
        </w:rPr>
        <w:t>í rozvoj potenciálu všech jedinců</w:t>
      </w:r>
      <w:r w:rsidRPr="001C6A85">
        <w:rPr>
          <w:rFonts w:cstheme="minorHAnsi"/>
        </w:rPr>
        <w:t>, včetně rozvoje jejich tvořivosti.</w:t>
      </w:r>
    </w:p>
    <w:p w:rsidR="00FD37A6" w:rsidRDefault="00FD37A6" w:rsidP="00D727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6A85">
        <w:rPr>
          <w:rFonts w:cstheme="minorHAnsi"/>
        </w:rPr>
        <w:t>Zajistit rovnost v přístupu ke vzdělávání na všech stupních škol a omezit vnější selektivitu vzdělávacího</w:t>
      </w:r>
      <w:r>
        <w:rPr>
          <w:rFonts w:cstheme="minorHAnsi"/>
        </w:rPr>
        <w:t xml:space="preserve"> </w:t>
      </w:r>
      <w:r w:rsidRPr="001C6A85">
        <w:rPr>
          <w:rFonts w:cstheme="minorHAnsi"/>
        </w:rPr>
        <w:t>systému.</w:t>
      </w:r>
    </w:p>
    <w:p w:rsidR="00FD37A6" w:rsidRPr="001C6A85" w:rsidRDefault="00FD37A6" w:rsidP="00D727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6A85">
        <w:rPr>
          <w:rFonts w:cstheme="minorHAnsi"/>
        </w:rPr>
        <w:t>Zefektivnit systém školských poradenských zařízení zavedením sjednocených postupů při poskytování</w:t>
      </w:r>
      <w:r>
        <w:rPr>
          <w:rFonts w:cstheme="minorHAnsi"/>
        </w:rPr>
        <w:t xml:space="preserve"> </w:t>
      </w:r>
      <w:r w:rsidRPr="001C6A85">
        <w:rPr>
          <w:rFonts w:cstheme="minorHAnsi"/>
        </w:rPr>
        <w:t>poradenských služeb, a to zejména při identifikaci speciálních vzdělávacích potřeb a mimořádného</w:t>
      </w:r>
      <w:r>
        <w:rPr>
          <w:rFonts w:cstheme="minorHAnsi"/>
        </w:rPr>
        <w:t xml:space="preserve"> </w:t>
      </w:r>
      <w:r w:rsidRPr="001C6A85">
        <w:rPr>
          <w:rFonts w:cstheme="minorHAnsi"/>
        </w:rPr>
        <w:t>nadání a doporučování podpůrných opatření.</w:t>
      </w:r>
    </w:p>
    <w:p w:rsidR="00FD37A6" w:rsidRPr="001C6A85" w:rsidRDefault="00FD37A6" w:rsidP="00D7271C">
      <w:pPr>
        <w:jc w:val="both"/>
        <w:rPr>
          <w:rFonts w:cstheme="minorHAnsi"/>
        </w:rPr>
      </w:pPr>
      <w:r w:rsidRPr="001C6A85">
        <w:rPr>
          <w:rFonts w:cstheme="minorHAnsi"/>
        </w:rPr>
        <w:t>Zajistit společný postup na úrovni zřizovatelů, obcí s rozšířenou působností a krajů.</w:t>
      </w:r>
    </w:p>
    <w:p w:rsidR="00846242" w:rsidRDefault="00846242" w:rsidP="00D7271C">
      <w:pPr>
        <w:jc w:val="both"/>
      </w:pPr>
    </w:p>
    <w:p w:rsidR="00163628" w:rsidRDefault="00163628" w:rsidP="00D7271C">
      <w:pPr>
        <w:jc w:val="both"/>
      </w:pPr>
    </w:p>
    <w:p w:rsidR="00163628" w:rsidRDefault="00163628" w:rsidP="00D7271C">
      <w:pPr>
        <w:jc w:val="both"/>
      </w:pPr>
    </w:p>
    <w:p w:rsidR="007A5CA8" w:rsidRPr="00846242" w:rsidRDefault="007A00EB" w:rsidP="00D7271C">
      <w:pPr>
        <w:jc w:val="both"/>
        <w:rPr>
          <w:b/>
        </w:rPr>
      </w:pPr>
      <w:r w:rsidRPr="00846242">
        <w:rPr>
          <w:b/>
        </w:rPr>
        <w:lastRenderedPageBreak/>
        <w:t>Jaké jsou s</w:t>
      </w:r>
      <w:r w:rsidR="007A5CA8" w:rsidRPr="00846242">
        <w:rPr>
          <w:b/>
        </w:rPr>
        <w:t>pecif</w:t>
      </w:r>
      <w:r w:rsidRPr="00846242">
        <w:rPr>
          <w:b/>
        </w:rPr>
        <w:t xml:space="preserve">ické cíle, </w:t>
      </w:r>
      <w:r w:rsidR="00846242">
        <w:rPr>
          <w:b/>
        </w:rPr>
        <w:t xml:space="preserve">kterých by mělo dosáhnout </w:t>
      </w:r>
      <w:r w:rsidRPr="00846242">
        <w:rPr>
          <w:b/>
        </w:rPr>
        <w:t>vzdělávání do roku 2030?</w:t>
      </w:r>
    </w:p>
    <w:p w:rsidR="007A5CA8" w:rsidRPr="00846242" w:rsidRDefault="007A5CA8" w:rsidP="00D7271C">
      <w:pPr>
        <w:spacing w:after="0" w:line="240" w:lineRule="auto"/>
        <w:jc w:val="both"/>
      </w:pPr>
      <w:r w:rsidRPr="00846242">
        <w:t xml:space="preserve">Snížit počet žáků, kteří opouštějí vzdělávání předčasně, a vytvořit podmínky pro dosažení kvalifikace u osob, které jej předčasně opustily. </w:t>
      </w:r>
    </w:p>
    <w:p w:rsidR="007A5CA8" w:rsidRPr="00846242" w:rsidRDefault="007A5CA8" w:rsidP="00D7271C">
      <w:pPr>
        <w:spacing w:after="0" w:line="240" w:lineRule="auto"/>
        <w:jc w:val="both"/>
      </w:pPr>
      <w:r w:rsidRPr="00846242">
        <w:t xml:space="preserve">Snížit počet žáků, kteří dosahují velmi nízkých úrovní gramotností. </w:t>
      </w:r>
    </w:p>
    <w:p w:rsidR="007A5CA8" w:rsidRPr="00846242" w:rsidRDefault="007A5CA8" w:rsidP="00D7271C">
      <w:pPr>
        <w:spacing w:after="0" w:line="240" w:lineRule="auto"/>
        <w:jc w:val="both"/>
      </w:pPr>
      <w:r w:rsidRPr="00846242">
        <w:t xml:space="preserve">Posílit kvalitu vzdělávání v zaostávajících regionech a školách a tím snížit mezikrajové i </w:t>
      </w:r>
      <w:proofErr w:type="spellStart"/>
      <w:r w:rsidRPr="00846242">
        <w:t>vni</w:t>
      </w:r>
      <w:r w:rsidRPr="00846242">
        <w:softHyphen/>
        <w:t>trokrajové</w:t>
      </w:r>
      <w:proofErr w:type="spellEnd"/>
      <w:r w:rsidRPr="00846242">
        <w:t xml:space="preserve"> diferenciace kvality vzdělávací soustavy. </w:t>
      </w:r>
    </w:p>
    <w:p w:rsidR="007A5CA8" w:rsidRPr="00846242" w:rsidRDefault="007A5CA8" w:rsidP="00D7271C">
      <w:pPr>
        <w:spacing w:after="0" w:line="240" w:lineRule="auto"/>
        <w:jc w:val="both"/>
      </w:pPr>
      <w:r w:rsidRPr="00846242">
        <w:t xml:space="preserve">Zvýšit šance na úspěch ve vzdělávání bez ohledu na socioekonomické a rodinné zázemí žáka nebo zdravotní znevýhodnění. </w:t>
      </w:r>
    </w:p>
    <w:p w:rsidR="007A5CA8" w:rsidRPr="00846242" w:rsidRDefault="007A5CA8" w:rsidP="00D7271C">
      <w:pPr>
        <w:spacing w:after="0" w:line="240" w:lineRule="auto"/>
        <w:jc w:val="both"/>
      </w:pPr>
      <w:r w:rsidRPr="00846242">
        <w:t xml:space="preserve">Posílit podporu rozvoje talentů v rámci standardních ZŠ mimo jiné proto, aby se oslabil tlak na vnější diferenci vzdělávací soustavy. </w:t>
      </w:r>
    </w:p>
    <w:p w:rsidR="00EC7EAA" w:rsidRPr="00846242" w:rsidRDefault="00EC7EAA" w:rsidP="00EC7EAA">
      <w:pPr>
        <w:spacing w:after="0" w:line="240" w:lineRule="auto"/>
        <w:jc w:val="both"/>
      </w:pPr>
      <w:r w:rsidRPr="00846242">
        <w:t xml:space="preserve">Zvýšit účast dětí ze sociálně </w:t>
      </w:r>
      <w:r>
        <w:t xml:space="preserve">znevýhodněného </w:t>
      </w:r>
      <w:r w:rsidRPr="00846242">
        <w:t>prostředí na předškolním vzdělávání jako pre</w:t>
      </w:r>
      <w:r w:rsidRPr="00846242">
        <w:softHyphen/>
        <w:t xml:space="preserve">venci možného školního neúspěchu, včasnými opatřeními redukovat dopad rizikových faktorů na straně rodiny. </w:t>
      </w:r>
    </w:p>
    <w:p w:rsidR="007A5CA8" w:rsidRPr="00846242" w:rsidRDefault="007A5CA8" w:rsidP="00D7271C">
      <w:pPr>
        <w:spacing w:after="0" w:line="240" w:lineRule="auto"/>
        <w:jc w:val="both"/>
      </w:pPr>
      <w:r w:rsidRPr="00846242">
        <w:t xml:space="preserve">Omezit rizika segregace ve školství. </w:t>
      </w:r>
    </w:p>
    <w:p w:rsidR="007A5CA8" w:rsidRPr="00846242" w:rsidRDefault="007A5CA8" w:rsidP="00D7271C">
      <w:pPr>
        <w:spacing w:after="0" w:line="240" w:lineRule="auto"/>
        <w:jc w:val="both"/>
      </w:pPr>
      <w:r w:rsidRPr="00846242">
        <w:t xml:space="preserve">Redukovat školní absence (včetně omluvených) jako faktor školní neúspěšnosti. </w:t>
      </w:r>
    </w:p>
    <w:p w:rsidR="007A5CA8" w:rsidRPr="00846242" w:rsidRDefault="007A5CA8" w:rsidP="00D7271C">
      <w:pPr>
        <w:spacing w:after="0" w:line="240" w:lineRule="auto"/>
        <w:jc w:val="both"/>
      </w:pPr>
      <w:r w:rsidRPr="00846242">
        <w:t xml:space="preserve">Snížit nerovnosti v uplatnitelnosti a občanských kompetencích absolventů středního stupně vzdělávání. </w:t>
      </w:r>
    </w:p>
    <w:p w:rsidR="007A5CA8" w:rsidRPr="00846242" w:rsidRDefault="007A5CA8" w:rsidP="00D7271C">
      <w:pPr>
        <w:spacing w:after="0" w:line="240" w:lineRule="auto"/>
        <w:jc w:val="both"/>
      </w:pPr>
      <w:r w:rsidRPr="00846242">
        <w:t xml:space="preserve">Zvýšit šance studentů ze sociálně znevýhodňujícího prostředí v terciárním vzdělávání. </w:t>
      </w:r>
    </w:p>
    <w:p w:rsidR="007A5CA8" w:rsidRPr="00846242" w:rsidRDefault="007A5CA8" w:rsidP="00D7271C">
      <w:pPr>
        <w:spacing w:after="0" w:line="240" w:lineRule="auto"/>
        <w:jc w:val="both"/>
      </w:pPr>
      <w:r w:rsidRPr="00846242">
        <w:t>Posílit aspirace žáků a pocit smysluplnosti studia, jakožto ri</w:t>
      </w:r>
      <w:r w:rsidR="007A00EB" w:rsidRPr="00846242">
        <w:t>zikový faktor diferenciace vzdě</w:t>
      </w:r>
      <w:r w:rsidRPr="00846242">
        <w:t xml:space="preserve">lanostních drah a nerovností. </w:t>
      </w:r>
    </w:p>
    <w:p w:rsidR="00FD37A6" w:rsidRDefault="00FD37A6" w:rsidP="00846242">
      <w:pPr>
        <w:spacing w:after="0"/>
      </w:pPr>
    </w:p>
    <w:p w:rsidR="00BF0A54" w:rsidRPr="00145306" w:rsidRDefault="00BF0A54" w:rsidP="00BF0A54">
      <w:pPr>
        <w:rPr>
          <w:b/>
          <w:i/>
          <w:color w:val="0070C0"/>
          <w:sz w:val="24"/>
          <w:szCs w:val="24"/>
        </w:rPr>
      </w:pPr>
      <w:r w:rsidRPr="00B54049">
        <w:rPr>
          <w:b/>
          <w:i/>
          <w:color w:val="0070C0"/>
          <w:sz w:val="24"/>
          <w:szCs w:val="24"/>
        </w:rPr>
        <w:t>Jak tuto oblast rozvíjet a podporovat?</w:t>
      </w:r>
      <w:r>
        <w:rPr>
          <w:b/>
          <w:i/>
          <w:color w:val="0070C0"/>
          <w:sz w:val="24"/>
          <w:szCs w:val="24"/>
        </w:rPr>
        <w:t xml:space="preserve">  </w:t>
      </w:r>
    </w:p>
    <w:p w:rsidR="00F93204" w:rsidRPr="008F725F" w:rsidRDefault="00F93204" w:rsidP="00F93204">
      <w:pPr>
        <w:pStyle w:val="Default"/>
        <w:rPr>
          <w:color w:val="auto"/>
          <w:sz w:val="22"/>
          <w:szCs w:val="22"/>
        </w:rPr>
      </w:pPr>
    </w:p>
    <w:p w:rsidR="00F93204" w:rsidRPr="00952894" w:rsidRDefault="00F93204" w:rsidP="00D7271C">
      <w:pPr>
        <w:jc w:val="both"/>
        <w:rPr>
          <w:b/>
        </w:rPr>
      </w:pPr>
      <w:r w:rsidRPr="00952894">
        <w:t xml:space="preserve">Základem pro </w:t>
      </w:r>
      <w:r w:rsidR="004C6166" w:rsidRPr="00952894">
        <w:t xml:space="preserve">naplnění cílů a </w:t>
      </w:r>
      <w:r w:rsidRPr="00952894">
        <w:t xml:space="preserve">změnu je </w:t>
      </w:r>
      <w:r w:rsidRPr="00952894">
        <w:rPr>
          <w:b/>
        </w:rPr>
        <w:t>posílení schopnosti strategického veden</w:t>
      </w:r>
      <w:r w:rsidR="00952894" w:rsidRPr="00952894">
        <w:rPr>
          <w:b/>
        </w:rPr>
        <w:t xml:space="preserve">í vzdělávání k lepším výsledkům </w:t>
      </w:r>
      <w:r w:rsidRPr="00952894">
        <w:rPr>
          <w:b/>
        </w:rPr>
        <w:t>n</w:t>
      </w:r>
      <w:r w:rsidR="00180F57" w:rsidRPr="00952894">
        <w:rPr>
          <w:b/>
        </w:rPr>
        <w:t>a</w:t>
      </w:r>
      <w:r w:rsidR="00952894" w:rsidRPr="00952894">
        <w:rPr>
          <w:b/>
        </w:rPr>
        <w:t xml:space="preserve"> </w:t>
      </w:r>
      <w:r w:rsidR="00180F57" w:rsidRPr="00952894">
        <w:rPr>
          <w:b/>
        </w:rPr>
        <w:t>všech</w:t>
      </w:r>
      <w:r w:rsidR="00952894" w:rsidRPr="00952894">
        <w:rPr>
          <w:b/>
        </w:rPr>
        <w:t xml:space="preserve"> </w:t>
      </w:r>
      <w:r w:rsidR="00846242" w:rsidRPr="00952894">
        <w:rPr>
          <w:b/>
        </w:rPr>
        <w:t>úrovních:</w:t>
      </w:r>
      <w:r w:rsidR="00952894">
        <w:t xml:space="preserve"> stát</w:t>
      </w:r>
      <w:r w:rsidRPr="00952894">
        <w:t xml:space="preserve">/zřizovatel/ředitel/učitel/žáci. Je nutné najít a podpořit pedagogické lídry, kteří pomohou změnu nastartovat a vést, podpořit týmy vzdělavatelů a zlepšit jejich profesní rozvoj, a to již v období profesní přípravy. Je také nezbytné získat větší porozumění a podporu ze strany rodičů a více </w:t>
      </w:r>
      <w:r w:rsidRPr="00952894">
        <w:rPr>
          <w:b/>
        </w:rPr>
        <w:t xml:space="preserve">propojit výuku s mimoškolními aktivitami žáků, podpořit spolupráci škol s rodiči, místní komunitou, trhem práce. </w:t>
      </w:r>
    </w:p>
    <w:p w:rsidR="00A11068" w:rsidRPr="008F725F" w:rsidRDefault="00A11068" w:rsidP="00D7271C">
      <w:pPr>
        <w:pStyle w:val="Default"/>
        <w:jc w:val="both"/>
        <w:rPr>
          <w:color w:val="auto"/>
          <w:sz w:val="22"/>
          <w:szCs w:val="22"/>
        </w:rPr>
      </w:pPr>
    </w:p>
    <w:p w:rsidR="00A11068" w:rsidRPr="004C6166" w:rsidRDefault="00A11068" w:rsidP="00D7271C">
      <w:pPr>
        <w:pStyle w:val="Default"/>
        <w:jc w:val="both"/>
        <w:rPr>
          <w:b/>
          <w:color w:val="auto"/>
          <w:sz w:val="22"/>
          <w:szCs w:val="22"/>
        </w:rPr>
      </w:pPr>
      <w:r w:rsidRPr="002F44B4">
        <w:rPr>
          <w:b/>
          <w:color w:val="auto"/>
          <w:sz w:val="22"/>
          <w:szCs w:val="22"/>
        </w:rPr>
        <w:t>Společné</w:t>
      </w:r>
      <w:r w:rsidRPr="008F725F">
        <w:rPr>
          <w:color w:val="auto"/>
          <w:sz w:val="22"/>
          <w:szCs w:val="22"/>
        </w:rPr>
        <w:t xml:space="preserve"> </w:t>
      </w:r>
      <w:r w:rsidRPr="00FD37A6">
        <w:rPr>
          <w:b/>
          <w:color w:val="auto"/>
          <w:sz w:val="22"/>
          <w:szCs w:val="22"/>
        </w:rPr>
        <w:t>vzdělávání žáků v rámci hlavního vzdělávacího proudu</w:t>
      </w:r>
      <w:r w:rsidRPr="008F725F">
        <w:rPr>
          <w:color w:val="auto"/>
          <w:sz w:val="22"/>
          <w:szCs w:val="22"/>
        </w:rPr>
        <w:t xml:space="preserve"> je jednou z priorit MŠMT. Jde o zajištění rovného přístupu a adekvátní podpory, ať už se jedná o žáky ze sociálně znevýhodněného a kulturně odlišného prostředí,  žáky zdravotně postižené a znevýhodněné nebo žáky nadané (včetně mimořádně nadaných) tak, aby mohli dosahovat co nejlepších osobních výsledků ve vzdělávání. Ze zákona (č. 561/2004 Sb., v platném znění) je garantováno právo žáků na tzv. podpůrná opatření, která jim pomohou překonávat jejich znevýhodnění. Jde o vytváření vstřícného a bezpečného prostředí ve školách a společné </w:t>
      </w:r>
      <w:r w:rsidRPr="004C6166">
        <w:rPr>
          <w:b/>
          <w:color w:val="auto"/>
          <w:sz w:val="22"/>
          <w:szCs w:val="22"/>
        </w:rPr>
        <w:t xml:space="preserve">plánování metodické a další podpory pro pedagogické pracovníky. </w:t>
      </w:r>
    </w:p>
    <w:p w:rsidR="00F93204" w:rsidRPr="004C6166" w:rsidRDefault="00F93204" w:rsidP="00D7271C">
      <w:pPr>
        <w:jc w:val="both"/>
        <w:rPr>
          <w:b/>
          <w:color w:val="00B050"/>
        </w:rPr>
      </w:pPr>
    </w:p>
    <w:p w:rsidR="00F93204" w:rsidRDefault="00F93204" w:rsidP="00D7271C">
      <w:pPr>
        <w:pStyle w:val="Default"/>
        <w:jc w:val="both"/>
        <w:rPr>
          <w:color w:val="auto"/>
          <w:sz w:val="22"/>
          <w:szCs w:val="22"/>
        </w:rPr>
      </w:pPr>
      <w:r w:rsidRPr="00FD37A6">
        <w:rPr>
          <w:b/>
          <w:color w:val="auto"/>
          <w:sz w:val="22"/>
          <w:szCs w:val="22"/>
        </w:rPr>
        <w:lastRenderedPageBreak/>
        <w:t>Společné diskuze o vz</w:t>
      </w:r>
      <w:r w:rsidR="008A3FDD" w:rsidRPr="00FD37A6">
        <w:rPr>
          <w:b/>
          <w:color w:val="auto"/>
          <w:sz w:val="22"/>
          <w:szCs w:val="22"/>
        </w:rPr>
        <w:t>dělávání</w:t>
      </w:r>
      <w:r w:rsidR="008A3FDD" w:rsidRPr="008F725F">
        <w:rPr>
          <w:color w:val="auto"/>
          <w:sz w:val="22"/>
          <w:szCs w:val="22"/>
        </w:rPr>
        <w:t xml:space="preserve"> by se měly týkat </w:t>
      </w:r>
      <w:r w:rsidRPr="008F725F">
        <w:rPr>
          <w:color w:val="auto"/>
          <w:sz w:val="22"/>
          <w:szCs w:val="22"/>
        </w:rPr>
        <w:t>řešení otázek, co můžeme do budoucna udělat pro to, aby</w:t>
      </w:r>
      <w:r w:rsidR="008F725F">
        <w:rPr>
          <w:color w:val="auto"/>
          <w:sz w:val="22"/>
          <w:szCs w:val="22"/>
        </w:rPr>
        <w:t xml:space="preserve"> např.:</w:t>
      </w:r>
    </w:p>
    <w:p w:rsidR="00FD37A6" w:rsidRPr="008F725F" w:rsidRDefault="00FD37A6" w:rsidP="00D7271C">
      <w:pPr>
        <w:pStyle w:val="Default"/>
        <w:jc w:val="both"/>
        <w:rPr>
          <w:color w:val="auto"/>
          <w:sz w:val="22"/>
          <w:szCs w:val="22"/>
        </w:rPr>
      </w:pPr>
    </w:p>
    <w:p w:rsidR="00F93204" w:rsidRPr="007A00EB" w:rsidRDefault="00307FA2" w:rsidP="00D7271C">
      <w:pPr>
        <w:pStyle w:val="Default"/>
        <w:numPr>
          <w:ilvl w:val="0"/>
          <w:numId w:val="8"/>
        </w:numPr>
        <w:spacing w:after="70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pedagogové</w:t>
      </w:r>
      <w:r w:rsidR="00F93204" w:rsidRPr="008F725F">
        <w:rPr>
          <w:color w:val="auto"/>
          <w:sz w:val="22"/>
          <w:szCs w:val="22"/>
        </w:rPr>
        <w:t xml:space="preserve"> byli ochotni více</w:t>
      </w:r>
      <w:r w:rsidR="008F725F">
        <w:rPr>
          <w:color w:val="auto"/>
          <w:sz w:val="22"/>
          <w:szCs w:val="22"/>
        </w:rPr>
        <w:t xml:space="preserve"> uvažovat a </w:t>
      </w:r>
      <w:r w:rsidR="008F725F" w:rsidRPr="007A00EB">
        <w:rPr>
          <w:b/>
          <w:color w:val="auto"/>
          <w:sz w:val="22"/>
          <w:szCs w:val="22"/>
        </w:rPr>
        <w:t>diskutovat o svých potřebách v rámci svého profesního rozvoje,</w:t>
      </w:r>
    </w:p>
    <w:p w:rsidR="00F93204" w:rsidRPr="008F725F" w:rsidRDefault="00F93204" w:rsidP="00D7271C">
      <w:pPr>
        <w:pStyle w:val="Default"/>
        <w:numPr>
          <w:ilvl w:val="0"/>
          <w:numId w:val="8"/>
        </w:numPr>
        <w:spacing w:after="70"/>
        <w:jc w:val="both"/>
        <w:rPr>
          <w:color w:val="auto"/>
          <w:sz w:val="22"/>
          <w:szCs w:val="22"/>
        </w:rPr>
      </w:pPr>
      <w:r w:rsidRPr="008F725F">
        <w:rPr>
          <w:color w:val="auto"/>
          <w:sz w:val="22"/>
          <w:szCs w:val="22"/>
        </w:rPr>
        <w:t xml:space="preserve">hodnocení </w:t>
      </w:r>
      <w:r w:rsidR="008A3FDD" w:rsidRPr="008F725F">
        <w:rPr>
          <w:color w:val="auto"/>
          <w:sz w:val="22"/>
          <w:szCs w:val="22"/>
        </w:rPr>
        <w:t xml:space="preserve">žáků </w:t>
      </w:r>
      <w:r w:rsidRPr="008F725F">
        <w:rPr>
          <w:color w:val="auto"/>
          <w:sz w:val="22"/>
          <w:szCs w:val="22"/>
        </w:rPr>
        <w:t>mohlo přinášet zpětnovazeb</w:t>
      </w:r>
      <w:r w:rsidR="00307FA2">
        <w:rPr>
          <w:color w:val="auto"/>
          <w:sz w:val="22"/>
          <w:szCs w:val="22"/>
        </w:rPr>
        <w:t>ní informace využitelné pedagogem</w:t>
      </w:r>
      <w:r w:rsidRPr="008F725F">
        <w:rPr>
          <w:color w:val="auto"/>
          <w:sz w:val="22"/>
          <w:szCs w:val="22"/>
        </w:rPr>
        <w:t xml:space="preserve"> i žákem pro další výuku a učení, abychom začali v našich školách více uplatňovat </w:t>
      </w:r>
      <w:r w:rsidR="008A3FDD" w:rsidRPr="008F725F">
        <w:rPr>
          <w:color w:val="auto"/>
          <w:sz w:val="22"/>
          <w:szCs w:val="22"/>
        </w:rPr>
        <w:t xml:space="preserve"> </w:t>
      </w:r>
      <w:r w:rsidR="008F725F" w:rsidRPr="007A00EB">
        <w:rPr>
          <w:b/>
          <w:color w:val="auto"/>
          <w:sz w:val="22"/>
          <w:szCs w:val="22"/>
        </w:rPr>
        <w:t>formativní hodnocení</w:t>
      </w:r>
      <w:r w:rsidR="008F725F">
        <w:rPr>
          <w:color w:val="auto"/>
          <w:sz w:val="22"/>
          <w:szCs w:val="22"/>
        </w:rPr>
        <w:t>,</w:t>
      </w:r>
    </w:p>
    <w:p w:rsidR="00F93204" w:rsidRPr="008F725F" w:rsidRDefault="00307FA2" w:rsidP="00D7271C">
      <w:pPr>
        <w:pStyle w:val="Default"/>
        <w:numPr>
          <w:ilvl w:val="0"/>
          <w:numId w:val="8"/>
        </w:numPr>
        <w:spacing w:after="7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pedagogové</w:t>
      </w:r>
      <w:r w:rsidR="00F93204" w:rsidRPr="008F725F">
        <w:rPr>
          <w:color w:val="auto"/>
          <w:sz w:val="22"/>
          <w:szCs w:val="22"/>
        </w:rPr>
        <w:t xml:space="preserve">/lídři chtěli přijímat zodpovědnost za </w:t>
      </w:r>
      <w:r w:rsidR="00F93204" w:rsidRPr="007A00EB">
        <w:rPr>
          <w:b/>
          <w:color w:val="auto"/>
          <w:sz w:val="22"/>
          <w:szCs w:val="22"/>
        </w:rPr>
        <w:t>budování pozitivních vztahů ve třídách/sborovnách a do</w:t>
      </w:r>
      <w:r w:rsidR="008F725F" w:rsidRPr="007A00EB">
        <w:rPr>
          <w:b/>
          <w:color w:val="auto"/>
          <w:sz w:val="22"/>
          <w:szCs w:val="22"/>
        </w:rPr>
        <w:t>stali k tomu potřebnou podporu,</w:t>
      </w:r>
    </w:p>
    <w:p w:rsidR="00F93204" w:rsidRPr="007A00EB" w:rsidRDefault="008331CE" w:rsidP="00D7271C">
      <w:pPr>
        <w:pStyle w:val="Default"/>
        <w:numPr>
          <w:ilvl w:val="0"/>
          <w:numId w:val="8"/>
        </w:numPr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aby </w:t>
      </w:r>
      <w:r w:rsidR="00307FA2">
        <w:rPr>
          <w:color w:val="auto"/>
          <w:sz w:val="22"/>
          <w:szCs w:val="22"/>
        </w:rPr>
        <w:t>si pedagogové</w:t>
      </w:r>
      <w:r w:rsidR="00F93204" w:rsidRPr="008F725F">
        <w:rPr>
          <w:color w:val="auto"/>
          <w:sz w:val="22"/>
          <w:szCs w:val="22"/>
        </w:rPr>
        <w:t xml:space="preserve">/lídři byli při každém jednání vědomi toho, že </w:t>
      </w:r>
      <w:r w:rsidR="00F93204" w:rsidRPr="007A00EB">
        <w:rPr>
          <w:b/>
          <w:color w:val="auto"/>
          <w:sz w:val="22"/>
          <w:szCs w:val="22"/>
        </w:rPr>
        <w:t>chyba (nejen žákovská, ale i učitelská) ve vzdělávání neznamená selhá</w:t>
      </w:r>
      <w:r w:rsidR="008A3FDD" w:rsidRPr="007A00EB">
        <w:rPr>
          <w:b/>
          <w:color w:val="auto"/>
          <w:sz w:val="22"/>
          <w:szCs w:val="22"/>
        </w:rPr>
        <w:t>ní</w:t>
      </w:r>
      <w:r w:rsidR="008A3FDD" w:rsidRPr="008F725F">
        <w:rPr>
          <w:color w:val="auto"/>
          <w:sz w:val="22"/>
          <w:szCs w:val="22"/>
        </w:rPr>
        <w:t xml:space="preserve">, </w:t>
      </w:r>
      <w:r w:rsidR="008A3FDD" w:rsidRPr="007A00EB">
        <w:rPr>
          <w:b/>
          <w:color w:val="auto"/>
          <w:sz w:val="22"/>
          <w:szCs w:val="22"/>
        </w:rPr>
        <w:t>ale příležitost k učení se…</w:t>
      </w:r>
    </w:p>
    <w:p w:rsidR="004C6166" w:rsidRDefault="004C6166" w:rsidP="00D7271C">
      <w:pPr>
        <w:jc w:val="both"/>
        <w:rPr>
          <w:b/>
        </w:rPr>
      </w:pPr>
    </w:p>
    <w:p w:rsidR="00F93204" w:rsidRPr="008F725F" w:rsidRDefault="008F725F" w:rsidP="00D7271C">
      <w:pPr>
        <w:jc w:val="both"/>
        <w:rPr>
          <w:b/>
        </w:rPr>
      </w:pPr>
      <w:r w:rsidRPr="008F725F">
        <w:rPr>
          <w:bCs/>
        </w:rPr>
        <w:t>Důležitá je role</w:t>
      </w:r>
      <w:r w:rsidR="00F93204" w:rsidRPr="008F725F">
        <w:t xml:space="preserve"> </w:t>
      </w:r>
      <w:r w:rsidR="00F93204" w:rsidRPr="00FD37A6">
        <w:rPr>
          <w:b/>
        </w:rPr>
        <w:t>vedení školy, které se soustředí na maximální úspěch pro každého žáka</w:t>
      </w:r>
      <w:r w:rsidR="00F93204" w:rsidRPr="008F725F">
        <w:t>, vytváří k tomu prostředí ve škole, podporuje k tomu pedagogické a další pracovníky školy a zapojuje rodiče a ostatní partnery školy. Inspirativními lídry pro učení žáků i pro své kolegy jsou všichni výborní učitelé, kteří motivují své žáky k učení, dokážou je zapálit a nadchnout pro zajímavé činnosti, pomáhají ostatním pedagogickým pracovníkům v jejich rozvoji, zkoušejí nové metody a přístupy a vyhodnocují jejich přínos a stále se vzdělávají v oblasti práce učitele</w:t>
      </w:r>
      <w:r w:rsidR="00A11068" w:rsidRPr="008F725F">
        <w:t>.</w:t>
      </w:r>
    </w:p>
    <w:p w:rsidR="00300331" w:rsidRDefault="00300331" w:rsidP="0061318C">
      <w:pPr>
        <w:pStyle w:val="Pa10"/>
        <w:spacing w:after="20"/>
        <w:jc w:val="both"/>
        <w:rPr>
          <w:rFonts w:asciiTheme="minorHAnsi" w:hAnsiTheme="minorHAnsi" w:cstheme="minorBidi"/>
          <w:color w:val="FF0000"/>
          <w:sz w:val="23"/>
          <w:szCs w:val="23"/>
        </w:rPr>
      </w:pPr>
    </w:p>
    <w:p w:rsidR="00445957" w:rsidRPr="00F36827" w:rsidRDefault="00846242" w:rsidP="00D7271C">
      <w:pPr>
        <w:pStyle w:val="Default"/>
        <w:jc w:val="both"/>
        <w:rPr>
          <w:b/>
          <w:color w:val="auto"/>
          <w:sz w:val="22"/>
          <w:szCs w:val="22"/>
        </w:rPr>
      </w:pPr>
      <w:r w:rsidRPr="00F36827">
        <w:rPr>
          <w:b/>
          <w:color w:val="auto"/>
          <w:sz w:val="22"/>
          <w:szCs w:val="22"/>
        </w:rPr>
        <w:t>P</w:t>
      </w:r>
      <w:r w:rsidR="003C4B02" w:rsidRPr="00F36827">
        <w:rPr>
          <w:b/>
          <w:color w:val="auto"/>
          <w:sz w:val="22"/>
          <w:szCs w:val="22"/>
        </w:rPr>
        <w:t>ropojování různých forem vzdělávání</w:t>
      </w:r>
    </w:p>
    <w:p w:rsidR="003C4B02" w:rsidRPr="00F36827" w:rsidRDefault="003C4B02" w:rsidP="00D7271C">
      <w:pPr>
        <w:pStyle w:val="Default"/>
        <w:jc w:val="both"/>
        <w:rPr>
          <w:b/>
          <w:color w:val="auto"/>
          <w:sz w:val="22"/>
          <w:szCs w:val="22"/>
        </w:rPr>
      </w:pPr>
    </w:p>
    <w:p w:rsidR="003C4B02" w:rsidRPr="00F36827" w:rsidRDefault="003C4B02" w:rsidP="00D727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36827">
        <w:rPr>
          <w:rFonts w:cstheme="minorHAnsi"/>
        </w:rPr>
        <w:t>Školy</w:t>
      </w:r>
      <w:r w:rsidR="00B22608" w:rsidRPr="00F36827">
        <w:rPr>
          <w:rFonts w:cstheme="minorHAnsi"/>
        </w:rPr>
        <w:t xml:space="preserve"> všech stupňů je třeba </w:t>
      </w:r>
      <w:r w:rsidR="00B22608" w:rsidRPr="00AA3155">
        <w:rPr>
          <w:rFonts w:cstheme="minorHAnsi"/>
          <w:b/>
        </w:rPr>
        <w:t xml:space="preserve">podporovat </w:t>
      </w:r>
      <w:r w:rsidRPr="00AA3155">
        <w:rPr>
          <w:rFonts w:cstheme="minorHAnsi"/>
          <w:b/>
        </w:rPr>
        <w:t>ve spolupráci s dal</w:t>
      </w:r>
      <w:r w:rsidR="00B22608" w:rsidRPr="00AA3155">
        <w:rPr>
          <w:rFonts w:cstheme="minorHAnsi"/>
          <w:b/>
        </w:rPr>
        <w:t xml:space="preserve">šími mimoškolními organizacemi, </w:t>
      </w:r>
      <w:r w:rsidRPr="00AA3155">
        <w:rPr>
          <w:rFonts w:cstheme="minorHAnsi"/>
          <w:b/>
        </w:rPr>
        <w:t>zaměstnavateli a odbornými pracovišti</w:t>
      </w:r>
      <w:r w:rsidRPr="00F36827">
        <w:rPr>
          <w:rFonts w:cstheme="minorHAnsi"/>
        </w:rPr>
        <w:t xml:space="preserve"> (na</w:t>
      </w:r>
      <w:r w:rsidR="00B22608" w:rsidRPr="00F36827">
        <w:rPr>
          <w:rFonts w:cstheme="minorHAnsi"/>
        </w:rPr>
        <w:t xml:space="preserve">př. knihovnami, muzei a dalšími </w:t>
      </w:r>
      <w:r w:rsidRPr="00F36827">
        <w:rPr>
          <w:rFonts w:cstheme="minorHAnsi"/>
        </w:rPr>
        <w:t>paměťovými i uměleckými institucemi), centry excelence, science centry, st</w:t>
      </w:r>
      <w:r w:rsidR="00B22608" w:rsidRPr="00F36827">
        <w:rPr>
          <w:rFonts w:cstheme="minorHAnsi"/>
        </w:rPr>
        <w:t xml:space="preserve">ředisky </w:t>
      </w:r>
      <w:r w:rsidRPr="00F36827">
        <w:rPr>
          <w:rFonts w:cstheme="minorHAnsi"/>
        </w:rPr>
        <w:t>ekologické výchovy a dalšími poskytovateli vzděláv</w:t>
      </w:r>
      <w:r w:rsidR="00B22608" w:rsidRPr="00F36827">
        <w:rPr>
          <w:rFonts w:cstheme="minorHAnsi"/>
        </w:rPr>
        <w:t xml:space="preserve">acích služeb, programů, soutěží </w:t>
      </w:r>
      <w:r w:rsidRPr="00F36827">
        <w:rPr>
          <w:rFonts w:cstheme="minorHAnsi"/>
        </w:rPr>
        <w:t>a stimulujících mimoškolních aktivit (odborná soustř</w:t>
      </w:r>
      <w:r w:rsidR="00B22608" w:rsidRPr="00F36827">
        <w:rPr>
          <w:rFonts w:cstheme="minorHAnsi"/>
        </w:rPr>
        <w:t xml:space="preserve">edění, přípravné kurzy, on-line </w:t>
      </w:r>
      <w:r w:rsidRPr="00F36827">
        <w:rPr>
          <w:rFonts w:cstheme="minorHAnsi"/>
        </w:rPr>
        <w:t>vzdělávání, badatelská činnost aj).</w:t>
      </w:r>
    </w:p>
    <w:p w:rsidR="00B22608" w:rsidRPr="00F36827" w:rsidRDefault="00B22608" w:rsidP="00D727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C4B02" w:rsidRPr="00F36827" w:rsidRDefault="00B22608" w:rsidP="00D727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36827">
        <w:rPr>
          <w:rFonts w:cstheme="minorHAnsi"/>
        </w:rPr>
        <w:t>Nastavit</w:t>
      </w:r>
      <w:r w:rsidR="003C4B02" w:rsidRPr="00F36827">
        <w:rPr>
          <w:rFonts w:cstheme="minorHAnsi"/>
        </w:rPr>
        <w:t xml:space="preserve"> pravidla, která umožní </w:t>
      </w:r>
      <w:r w:rsidR="003C4B02" w:rsidRPr="00AA3155">
        <w:rPr>
          <w:rFonts w:cstheme="minorHAnsi"/>
          <w:b/>
        </w:rPr>
        <w:t>zohledňovat neformáln</w:t>
      </w:r>
      <w:r w:rsidRPr="00AA3155">
        <w:rPr>
          <w:rFonts w:cstheme="minorHAnsi"/>
          <w:b/>
        </w:rPr>
        <w:t xml:space="preserve">ě získané znalosti a dovednosti </w:t>
      </w:r>
      <w:r w:rsidR="003C4B02" w:rsidRPr="00AA3155">
        <w:rPr>
          <w:rFonts w:cstheme="minorHAnsi"/>
          <w:b/>
        </w:rPr>
        <w:t>ve formálním vzdělávání žáka</w:t>
      </w:r>
      <w:r w:rsidR="003C4B02" w:rsidRPr="00F36827">
        <w:rPr>
          <w:rFonts w:cstheme="minorHAnsi"/>
        </w:rPr>
        <w:t xml:space="preserve"> – např. uznávání</w:t>
      </w:r>
      <w:r w:rsidRPr="00F36827">
        <w:rPr>
          <w:rFonts w:cstheme="minorHAnsi"/>
        </w:rPr>
        <w:t>m digitálních odznaků (</w:t>
      </w:r>
      <w:proofErr w:type="spellStart"/>
      <w:r w:rsidRPr="00F36827">
        <w:rPr>
          <w:rFonts w:cstheme="minorHAnsi"/>
        </w:rPr>
        <w:t>badges</w:t>
      </w:r>
      <w:proofErr w:type="spellEnd"/>
      <w:r w:rsidRPr="00F36827">
        <w:rPr>
          <w:rFonts w:cstheme="minorHAnsi"/>
        </w:rPr>
        <w:t xml:space="preserve">), </w:t>
      </w:r>
      <w:r w:rsidR="003C4B02" w:rsidRPr="00F36827">
        <w:rPr>
          <w:rFonts w:cstheme="minorHAnsi"/>
        </w:rPr>
        <w:t>absolvovaných on-line ku</w:t>
      </w:r>
      <w:r w:rsidR="006023BE">
        <w:rPr>
          <w:rFonts w:cstheme="minorHAnsi"/>
        </w:rPr>
        <w:t>rzů a přednášek. Školy by tak mohly</w:t>
      </w:r>
      <w:r w:rsidRPr="00F36827">
        <w:rPr>
          <w:rFonts w:cstheme="minorHAnsi"/>
        </w:rPr>
        <w:t xml:space="preserve"> doložené výstupy neformálního </w:t>
      </w:r>
      <w:r w:rsidR="003C4B02" w:rsidRPr="00F36827">
        <w:rPr>
          <w:rFonts w:cstheme="minorHAnsi"/>
        </w:rPr>
        <w:t>a zájmového vzdělávání zohlednit např. ve školním p</w:t>
      </w:r>
      <w:r w:rsidRPr="00F36827">
        <w:rPr>
          <w:rFonts w:cstheme="minorHAnsi"/>
        </w:rPr>
        <w:t xml:space="preserve">ortfoliu jednotlivých </w:t>
      </w:r>
      <w:r w:rsidR="003C4B02" w:rsidRPr="00F36827">
        <w:rPr>
          <w:rFonts w:cstheme="minorHAnsi"/>
        </w:rPr>
        <w:t>žáků, při p</w:t>
      </w:r>
      <w:r w:rsidRPr="00F36827">
        <w:rPr>
          <w:rFonts w:cstheme="minorHAnsi"/>
        </w:rPr>
        <w:t>řijímacím řízení apod.</w:t>
      </w:r>
    </w:p>
    <w:p w:rsidR="003C4B02" w:rsidRPr="00952894" w:rsidRDefault="003C4B02" w:rsidP="00D7271C">
      <w:pPr>
        <w:pStyle w:val="Default"/>
        <w:jc w:val="both"/>
        <w:rPr>
          <w:b/>
          <w:color w:val="FF0000"/>
          <w:sz w:val="22"/>
          <w:szCs w:val="22"/>
        </w:rPr>
      </w:pPr>
    </w:p>
    <w:p w:rsidR="00DE11DB" w:rsidRDefault="00DE11DB" w:rsidP="0061318C">
      <w:pPr>
        <w:pStyle w:val="Pa10"/>
        <w:spacing w:after="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63628" w:rsidRDefault="00163628" w:rsidP="00163628">
      <w:pPr>
        <w:pStyle w:val="Default"/>
      </w:pPr>
    </w:p>
    <w:p w:rsidR="00163628" w:rsidRPr="00163628" w:rsidRDefault="00163628" w:rsidP="00163628">
      <w:pPr>
        <w:pStyle w:val="Default"/>
      </w:pPr>
    </w:p>
    <w:p w:rsidR="000F7985" w:rsidRPr="00FD37A6" w:rsidRDefault="00FD37A6" w:rsidP="0061318C">
      <w:pPr>
        <w:pStyle w:val="Pa10"/>
        <w:spacing w:after="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D37A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Na co se </w:t>
      </w:r>
      <w:r w:rsidR="00452896">
        <w:rPr>
          <w:rFonts w:asciiTheme="minorHAnsi" w:hAnsiTheme="minorHAnsi" w:cstheme="minorHAnsi"/>
          <w:b/>
          <w:bCs/>
          <w:sz w:val="22"/>
          <w:szCs w:val="22"/>
        </w:rPr>
        <w:t xml:space="preserve">v souladu se Strategií 2030+ </w:t>
      </w:r>
      <w:r w:rsidRPr="00FD37A6">
        <w:rPr>
          <w:rFonts w:asciiTheme="minorHAnsi" w:hAnsiTheme="minorHAnsi" w:cstheme="minorHAnsi"/>
          <w:b/>
          <w:bCs/>
          <w:sz w:val="22"/>
          <w:szCs w:val="22"/>
        </w:rPr>
        <w:t>konkrétně zaměřit?</w:t>
      </w:r>
    </w:p>
    <w:p w:rsidR="00FD37A6" w:rsidRPr="00FD37A6" w:rsidRDefault="00FD37A6" w:rsidP="00FD37A6">
      <w:pPr>
        <w:pStyle w:val="Default"/>
      </w:pPr>
    </w:p>
    <w:p w:rsidR="00384E7B" w:rsidRPr="00192D0E" w:rsidRDefault="00BC0397" w:rsidP="00192D0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 w:rsidRPr="00192D0E">
        <w:rPr>
          <w:rFonts w:ascii="Calibri" w:hAnsi="Calibri" w:cs="Calibri"/>
          <w:b/>
          <w:color w:val="000000"/>
        </w:rPr>
        <w:t>Podporu</w:t>
      </w:r>
      <w:r w:rsidR="00384E7B" w:rsidRPr="00192D0E">
        <w:rPr>
          <w:rFonts w:ascii="Calibri" w:hAnsi="Calibri" w:cs="Calibri"/>
          <w:b/>
          <w:color w:val="000000"/>
        </w:rPr>
        <w:t xml:space="preserve"> učitelů, ředitelů a dalších pracovníků ve vzdělávání</w:t>
      </w:r>
      <w:r w:rsidR="008625E8" w:rsidRPr="00192D0E">
        <w:rPr>
          <w:rFonts w:ascii="Calibri" w:hAnsi="Calibri" w:cs="Calibri"/>
          <w:color w:val="000000"/>
        </w:rPr>
        <w:t xml:space="preserve">  </w:t>
      </w:r>
      <w:r w:rsidRPr="00192D0E">
        <w:rPr>
          <w:rFonts w:ascii="Calibri" w:hAnsi="Calibri" w:cs="Calibri"/>
          <w:color w:val="000000"/>
        </w:rPr>
        <w:t>zaměřit na podporu</w:t>
      </w:r>
      <w:r w:rsidR="00384E7B" w:rsidRPr="00192D0E">
        <w:rPr>
          <w:rFonts w:ascii="Calibri" w:hAnsi="Calibri" w:cs="Calibri"/>
          <w:color w:val="000000"/>
        </w:rPr>
        <w:t xml:space="preserve"> vzájem</w:t>
      </w:r>
      <w:r w:rsidRPr="00192D0E">
        <w:rPr>
          <w:rFonts w:ascii="Calibri" w:hAnsi="Calibri" w:cs="Calibri"/>
          <w:color w:val="000000"/>
        </w:rPr>
        <w:t>ného profesního sdílení, přenos</w:t>
      </w:r>
      <w:r w:rsidR="00384E7B" w:rsidRPr="00192D0E">
        <w:rPr>
          <w:rFonts w:ascii="Calibri" w:hAnsi="Calibri" w:cs="Calibri"/>
          <w:color w:val="000000"/>
        </w:rPr>
        <w:t xml:space="preserve"> osvědčených a funkč</w:t>
      </w:r>
      <w:r w:rsidRPr="00192D0E">
        <w:rPr>
          <w:rFonts w:ascii="Calibri" w:hAnsi="Calibri" w:cs="Calibri"/>
          <w:color w:val="000000"/>
        </w:rPr>
        <w:t>ních inovativních metod; podporu</w:t>
      </w:r>
      <w:r w:rsidR="00384E7B" w:rsidRPr="00192D0E">
        <w:rPr>
          <w:rFonts w:ascii="Calibri" w:hAnsi="Calibri" w:cs="Calibri"/>
          <w:color w:val="000000"/>
        </w:rPr>
        <w:t xml:space="preserve"> pedagogických pracovníků při společné přípravě výuky a jejím reflektování; důraz </w:t>
      </w:r>
      <w:r w:rsidRPr="00192D0E">
        <w:rPr>
          <w:rFonts w:ascii="Calibri" w:hAnsi="Calibri" w:cs="Calibri"/>
          <w:color w:val="000000"/>
        </w:rPr>
        <w:t xml:space="preserve">dávat </w:t>
      </w:r>
      <w:r w:rsidR="00384E7B" w:rsidRPr="00192D0E">
        <w:rPr>
          <w:rFonts w:ascii="Calibri" w:hAnsi="Calibri" w:cs="Calibri"/>
          <w:color w:val="000000"/>
        </w:rPr>
        <w:t xml:space="preserve">na to, aby pedagogické týmy škol dokázaly zaměřit vzdělávání svých dětí/žáků/studentů/účastníků neformálního vzdělávání více </w:t>
      </w:r>
      <w:r w:rsidR="00384E7B" w:rsidRPr="00192D0E">
        <w:rPr>
          <w:rFonts w:ascii="Calibri" w:hAnsi="Calibri" w:cs="Calibri"/>
          <w:b/>
          <w:color w:val="000000"/>
        </w:rPr>
        <w:t>na získávání kompetencí, potřebných pro aktivní občanský, profesní i osobní život.</w:t>
      </w:r>
    </w:p>
    <w:p w:rsidR="00F85982" w:rsidRPr="002F44B4" w:rsidRDefault="00EA6E72" w:rsidP="00192D0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b/>
          <w:color w:val="00B050"/>
        </w:rPr>
      </w:pPr>
      <w:r w:rsidRPr="00192D0E">
        <w:rPr>
          <w:b/>
        </w:rPr>
        <w:t>Podporovat rozvoj kompetencí pedagogů v oblastech, které směřují ke schopnosti vzdělávat  různorodé kolektivy dětí a rozvíjet potenciál dětí/žáků/studentů se sociálním a jiným znevýhodněním,</w:t>
      </w:r>
      <w:r w:rsidRPr="00BC0397">
        <w:t xml:space="preserve"> organizovat semináře, podporovat expertní por</w:t>
      </w:r>
      <w:r w:rsidR="00643C21">
        <w:t xml:space="preserve">adenství, </w:t>
      </w:r>
      <w:proofErr w:type="spellStart"/>
      <w:r w:rsidR="00643C21">
        <w:t>mentoring</w:t>
      </w:r>
      <w:proofErr w:type="spellEnd"/>
      <w:r w:rsidR="00643C21">
        <w:t xml:space="preserve">, </w:t>
      </w:r>
      <w:proofErr w:type="spellStart"/>
      <w:r w:rsidR="00643C21">
        <w:t>koučink</w:t>
      </w:r>
      <w:proofErr w:type="spellEnd"/>
      <w:r w:rsidR="00643C21">
        <w:t xml:space="preserve">, </w:t>
      </w:r>
      <w:r w:rsidRPr="00BC0397">
        <w:t>podporovat spolupráci s podpůrnými profesemi – asistenty pedagoga, speciálními pedagogy, psychology…</w:t>
      </w:r>
      <w:r w:rsidR="002C118C">
        <w:t>, podporovat tandemovou</w:t>
      </w:r>
      <w:r w:rsidR="00F85982">
        <w:t xml:space="preserve"> výuku, </w:t>
      </w:r>
      <w:r w:rsidR="00F85982" w:rsidRPr="00192D0E">
        <w:rPr>
          <w:rFonts w:ascii="Calibri" w:hAnsi="Calibri" w:cs="Calibri"/>
        </w:rPr>
        <w:t>sdílení zkušeností pedagogů v práci se znevýhodněnými žáky</w:t>
      </w:r>
      <w:r w:rsidR="00F85982" w:rsidRPr="002F44B4">
        <w:rPr>
          <w:rFonts w:cstheme="minorHAnsi"/>
          <w:color w:val="00B050"/>
        </w:rPr>
        <w:t>.</w:t>
      </w:r>
      <w:r w:rsidR="00BC4EF3" w:rsidRPr="002F44B4">
        <w:rPr>
          <w:rFonts w:cstheme="minorHAnsi"/>
          <w:color w:val="00B050"/>
        </w:rPr>
        <w:t xml:space="preserve"> </w:t>
      </w:r>
      <w:r w:rsidR="00BC4EF3" w:rsidRPr="00B567F4">
        <w:rPr>
          <w:rFonts w:cstheme="minorHAnsi"/>
        </w:rPr>
        <w:t>Posilovat kompetence pedagogů, aby uměli zacházet se specifickými vzdělávacími potřebami dětí a zvládat různor</w:t>
      </w:r>
      <w:r w:rsidR="00B567F4" w:rsidRPr="00B567F4">
        <w:rPr>
          <w:rFonts w:cstheme="minorHAnsi"/>
        </w:rPr>
        <w:t>odé situace ve třídě. Pod tím</w:t>
      </w:r>
      <w:r w:rsidR="00BC4EF3" w:rsidRPr="00B567F4">
        <w:rPr>
          <w:rFonts w:cstheme="minorHAnsi"/>
        </w:rPr>
        <w:t xml:space="preserve"> si můžeme představit další vzdělávání v oblasti pedagogické diagnostiky, formativního hodnocení, </w:t>
      </w:r>
      <w:r w:rsidR="00EC0155">
        <w:rPr>
          <w:rFonts w:cstheme="minorHAnsi"/>
        </w:rPr>
        <w:t xml:space="preserve">podpory žáků s OMJ, </w:t>
      </w:r>
      <w:r w:rsidR="00BC4EF3" w:rsidRPr="00B567F4">
        <w:rPr>
          <w:rFonts w:cstheme="minorHAnsi"/>
        </w:rPr>
        <w:t>spolupráci učitelů a asistentů pedagoga nebo například sdílení příkladů dobré praxe.</w:t>
      </w:r>
    </w:p>
    <w:p w:rsidR="000F7985" w:rsidRPr="000F7985" w:rsidRDefault="00FB6A8F" w:rsidP="00180F5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0F7985">
        <w:rPr>
          <w:rFonts w:ascii="Calibri" w:hAnsi="Calibri" w:cs="Calibri"/>
        </w:rPr>
        <w:t xml:space="preserve">Klást důraz na </w:t>
      </w:r>
      <w:r w:rsidRPr="000F7985">
        <w:rPr>
          <w:rFonts w:ascii="Calibri" w:hAnsi="Calibri" w:cs="Calibri"/>
          <w:b/>
        </w:rPr>
        <w:t>posílení role ředitele jako pedagogického lídra</w:t>
      </w:r>
      <w:r w:rsidRPr="000F7985">
        <w:rPr>
          <w:rFonts w:ascii="Calibri" w:hAnsi="Calibri" w:cs="Calibri"/>
        </w:rPr>
        <w:t>, podporovat vzdělávání ředitelů (</w:t>
      </w:r>
      <w:r w:rsidR="0047254A" w:rsidRPr="000F7985">
        <w:rPr>
          <w:rFonts w:ascii="Calibri" w:hAnsi="Calibri" w:cs="Calibri"/>
        </w:rPr>
        <w:t>včetně stáží na jiných školách, supervize,</w:t>
      </w:r>
      <w:r w:rsidR="00EA6E72" w:rsidRPr="000F7985">
        <w:rPr>
          <w:rFonts w:ascii="Calibri" w:hAnsi="Calibri" w:cs="Calibri"/>
        </w:rPr>
        <w:t xml:space="preserve"> expertního poradenství, </w:t>
      </w:r>
      <w:r w:rsidR="0047254A" w:rsidRPr="000F7985">
        <w:rPr>
          <w:rFonts w:ascii="Calibri" w:hAnsi="Calibri" w:cs="Calibri"/>
        </w:rPr>
        <w:t xml:space="preserve"> </w:t>
      </w:r>
      <w:proofErr w:type="spellStart"/>
      <w:r w:rsidR="0047254A" w:rsidRPr="000F7985">
        <w:rPr>
          <w:rFonts w:ascii="Calibri" w:hAnsi="Calibri" w:cs="Calibri"/>
        </w:rPr>
        <w:t>koučinku</w:t>
      </w:r>
      <w:proofErr w:type="spellEnd"/>
      <w:r w:rsidR="0047254A" w:rsidRPr="000F7985">
        <w:rPr>
          <w:rFonts w:ascii="Calibri" w:hAnsi="Calibri" w:cs="Calibri"/>
        </w:rPr>
        <w:t>…).</w:t>
      </w:r>
      <w:r w:rsidR="00BF11FC" w:rsidRPr="000F7985">
        <w:rPr>
          <w:rFonts w:ascii="Calibri" w:hAnsi="Calibri" w:cs="Calibri"/>
        </w:rPr>
        <w:t xml:space="preserve"> </w:t>
      </w:r>
    </w:p>
    <w:p w:rsidR="0047254A" w:rsidRDefault="0047254A" w:rsidP="00180F5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0F7985">
        <w:rPr>
          <w:rFonts w:ascii="Calibri" w:hAnsi="Calibri" w:cs="Calibri"/>
        </w:rPr>
        <w:t xml:space="preserve">Podporovat </w:t>
      </w:r>
      <w:r w:rsidRPr="000F7985">
        <w:rPr>
          <w:rFonts w:ascii="Calibri" w:hAnsi="Calibri" w:cs="Calibri"/>
          <w:b/>
        </w:rPr>
        <w:t>vzdělávání poradenských pracovníků ve školních poradenských pracovištích a pedagogů vykonávajících jednotlivé specializované činnosti.</w:t>
      </w:r>
    </w:p>
    <w:p w:rsidR="000F7985" w:rsidRPr="00DA3593" w:rsidRDefault="008729EA" w:rsidP="008729E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Podporovat využití projektů tzv. šablon, </w:t>
      </w:r>
      <w:r w:rsidRPr="008729EA">
        <w:rPr>
          <w:rStyle w:val="Siln"/>
          <w:rFonts w:cstheme="minorHAnsi"/>
          <w:shd w:val="clear" w:color="auto" w:fill="FFFFFF"/>
        </w:rPr>
        <w:t>š</w:t>
      </w:r>
      <w:r w:rsidR="00D3141D" w:rsidRPr="008729EA">
        <w:rPr>
          <w:rStyle w:val="Siln"/>
          <w:rFonts w:cstheme="minorHAnsi"/>
          <w:shd w:val="clear" w:color="auto" w:fill="FFFFFF"/>
        </w:rPr>
        <w:t>ablony OP JAK jsou klíčovými výzvami v oblasti regionálního školství</w:t>
      </w:r>
      <w:r w:rsidR="00D3141D" w:rsidRPr="008729EA">
        <w:rPr>
          <w:rFonts w:cstheme="minorHAnsi"/>
          <w:shd w:val="clear" w:color="auto" w:fill="FFFFFF"/>
        </w:rPr>
        <w:t>. Umožní další implementaci společného vzdělávání, posilování personálních pozic ve školství a rozvoj pedagogických pracovníků, které povedou ke zlepšení kvality vzdělávání a zajištění úspěchu pro každého žáka</w:t>
      </w:r>
      <w:r w:rsidR="00D3141D" w:rsidRPr="005E090B">
        <w:rPr>
          <w:rFonts w:cstheme="minorHAnsi"/>
          <w:color w:val="FF0000"/>
          <w:shd w:val="clear" w:color="auto" w:fill="FFFFFF"/>
        </w:rPr>
        <w:t xml:space="preserve">. </w:t>
      </w:r>
      <w:r w:rsidR="00D3141D" w:rsidRPr="00445957">
        <w:rPr>
          <w:rFonts w:cstheme="minorHAnsi"/>
          <w:shd w:val="clear" w:color="auto" w:fill="FFFFFF"/>
        </w:rPr>
        <w:t xml:space="preserve">Šablony cílí </w:t>
      </w:r>
      <w:r w:rsidR="00D3141D" w:rsidRPr="008729EA">
        <w:rPr>
          <w:rFonts w:cstheme="minorHAnsi"/>
          <w:shd w:val="clear" w:color="auto" w:fill="FFFFFF"/>
        </w:rPr>
        <w:t xml:space="preserve">také na podporu dětí ohrožených školním neúspěchem. </w:t>
      </w:r>
    </w:p>
    <w:p w:rsidR="00DA3593" w:rsidRPr="008729EA" w:rsidRDefault="00DA3593" w:rsidP="00DA3593">
      <w:pPr>
        <w:pStyle w:val="Odstavecseseznamem"/>
        <w:autoSpaceDE w:val="0"/>
        <w:autoSpaceDN w:val="0"/>
        <w:adjustRightInd w:val="0"/>
        <w:ind w:left="927"/>
        <w:jc w:val="both"/>
        <w:rPr>
          <w:rFonts w:ascii="Calibri" w:hAnsi="Calibri" w:cs="Calibri"/>
          <w:b/>
        </w:rPr>
      </w:pPr>
    </w:p>
    <w:p w:rsidR="009E4ACE" w:rsidRPr="00452896" w:rsidRDefault="009E4ACE" w:rsidP="00D7271C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452896">
        <w:rPr>
          <w:b/>
        </w:rPr>
        <w:t>Proměnou obsahů a způsobů</w:t>
      </w:r>
      <w:r w:rsidRPr="00452896">
        <w:t xml:space="preserve"> </w:t>
      </w:r>
      <w:r w:rsidRPr="00452896">
        <w:rPr>
          <w:b/>
        </w:rPr>
        <w:t>vzdělávání</w:t>
      </w:r>
      <w:r w:rsidRPr="00452896">
        <w:t xml:space="preserve"> vytvořit dostatečný prostor pro individualizaci výuky </w:t>
      </w:r>
      <w:r w:rsidRPr="00452896">
        <w:rPr>
          <w:rFonts w:ascii="Calibri" w:hAnsi="Calibri" w:cs="Calibri"/>
        </w:rPr>
        <w:t>a vyšší využívání didaktických postupů umožňujících vzdělávání heterogenních kolektivů (mj. větší integrace digitálních technologií do výuky, stejně jako větší prostor pro výuku v reálném světě mimo školu – obci, institucích, firmách, v přírodě apod.).</w:t>
      </w:r>
    </w:p>
    <w:p w:rsidR="009E4ACE" w:rsidRPr="00452896" w:rsidRDefault="009E4ACE" w:rsidP="00D7271C">
      <w:pPr>
        <w:pStyle w:val="Odstavecseseznamem"/>
        <w:numPr>
          <w:ilvl w:val="0"/>
          <w:numId w:val="3"/>
        </w:numPr>
        <w:jc w:val="both"/>
      </w:pPr>
      <w:r w:rsidRPr="00452896">
        <w:t xml:space="preserve">Cíleně </w:t>
      </w:r>
      <w:r w:rsidRPr="00452896">
        <w:rPr>
          <w:b/>
        </w:rPr>
        <w:t>individualizovat výuku a zavádět didaktické postupy</w:t>
      </w:r>
      <w:r w:rsidRPr="00452896">
        <w:t xml:space="preserve"> umožňující vzdělávání různorodých kolektivů.</w:t>
      </w:r>
    </w:p>
    <w:p w:rsidR="009E4ACE" w:rsidRPr="00452896" w:rsidRDefault="009E4ACE" w:rsidP="00D7271C">
      <w:pPr>
        <w:pStyle w:val="Odstavecseseznamem"/>
        <w:numPr>
          <w:ilvl w:val="0"/>
          <w:numId w:val="3"/>
        </w:numPr>
        <w:jc w:val="both"/>
      </w:pPr>
      <w:r w:rsidRPr="00452896">
        <w:t xml:space="preserve">Zaměřovat se na </w:t>
      </w:r>
      <w:r w:rsidRPr="00452896">
        <w:rPr>
          <w:b/>
        </w:rPr>
        <w:t>výsledky žáka,</w:t>
      </w:r>
      <w:r w:rsidRPr="00452896">
        <w:t xml:space="preserve"> nikoli na jeho osobnost, hodnocení bude založeno na stanovování cílů a sledování „důkazů o učení.“</w:t>
      </w:r>
    </w:p>
    <w:p w:rsidR="009E4ACE" w:rsidRPr="00452896" w:rsidRDefault="009E4ACE" w:rsidP="00D7271C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452896">
        <w:rPr>
          <w:rFonts w:ascii="Calibri" w:hAnsi="Calibri" w:cs="Calibri"/>
        </w:rPr>
        <w:t xml:space="preserve">Podporovat používání </w:t>
      </w:r>
      <w:r w:rsidRPr="00452896">
        <w:rPr>
          <w:rFonts w:ascii="Calibri" w:hAnsi="Calibri" w:cs="Calibri"/>
          <w:b/>
        </w:rPr>
        <w:t>formativního</w:t>
      </w:r>
      <w:r w:rsidRPr="00452896">
        <w:rPr>
          <w:rFonts w:ascii="Calibri" w:hAnsi="Calibri" w:cs="Calibri"/>
        </w:rPr>
        <w:t xml:space="preserve"> </w:t>
      </w:r>
      <w:r w:rsidRPr="00452896">
        <w:rPr>
          <w:rFonts w:ascii="Calibri" w:hAnsi="Calibri" w:cs="Calibri"/>
          <w:b/>
        </w:rPr>
        <w:t>hodnocení,</w:t>
      </w:r>
      <w:r w:rsidRPr="00452896">
        <w:rPr>
          <w:rFonts w:ascii="Calibri" w:hAnsi="Calibri" w:cs="Calibri"/>
        </w:rPr>
        <w:t xml:space="preserve"> které efektivně přispívá ke vzdělávacímu pokroku žáků a k rozvoji jejich kompetencí.</w:t>
      </w:r>
    </w:p>
    <w:p w:rsidR="009E4ACE" w:rsidRPr="00452896" w:rsidRDefault="009E4ACE" w:rsidP="00D7271C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452896">
        <w:rPr>
          <w:rFonts w:ascii="Calibri" w:hAnsi="Calibri" w:cs="Calibri"/>
        </w:rPr>
        <w:lastRenderedPageBreak/>
        <w:t xml:space="preserve">Využívat </w:t>
      </w:r>
      <w:r w:rsidRPr="00452896">
        <w:rPr>
          <w:rFonts w:ascii="Calibri" w:hAnsi="Calibri" w:cs="Calibri"/>
          <w:b/>
        </w:rPr>
        <w:t>další formy a způsoby hodnocení ve vzdělávání,</w:t>
      </w:r>
      <w:r w:rsidRPr="00452896">
        <w:rPr>
          <w:rFonts w:ascii="Calibri" w:hAnsi="Calibri" w:cs="Calibri"/>
        </w:rPr>
        <w:t xml:space="preserve"> mezi trendy patří např. zvýšený důraz na sebehodnocení žáků a učitelů, které má často nezávazný informativní charakter a slouží k lepší sebereflexi, portfoliové hodnocení nebo také využívání digitálních technologií jakožto nástroje usnadňujícího a zefektivňujícího hodnocení ve vzdělávání.</w:t>
      </w:r>
    </w:p>
    <w:p w:rsidR="009E4ACE" w:rsidRPr="00452896" w:rsidRDefault="009E4ACE" w:rsidP="00D7271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52896">
        <w:rPr>
          <w:rFonts w:ascii="Calibri" w:hAnsi="Calibri" w:cs="Calibri"/>
          <w:b/>
        </w:rPr>
        <w:t>Upravit obsah a formu přijímacích zkoušek</w:t>
      </w:r>
      <w:r w:rsidRPr="00452896">
        <w:rPr>
          <w:rFonts w:ascii="Calibri" w:hAnsi="Calibri" w:cs="Calibri"/>
        </w:rPr>
        <w:t xml:space="preserve"> (aby odpovídaly revidovanému</w:t>
      </w:r>
      <w:r w:rsidR="00452896">
        <w:rPr>
          <w:rFonts w:ascii="Calibri" w:hAnsi="Calibri" w:cs="Calibri"/>
        </w:rPr>
        <w:t xml:space="preserve"> </w:t>
      </w:r>
      <w:r w:rsidRPr="00452896">
        <w:rPr>
          <w:rFonts w:ascii="Calibri" w:hAnsi="Calibri" w:cs="Calibri"/>
        </w:rPr>
        <w:t xml:space="preserve">RVP ZV a jako celek zohledňovaly kompetenční pojetí kurikula), </w:t>
      </w:r>
      <w:r w:rsidRPr="00452896">
        <w:rPr>
          <w:rFonts w:ascii="Calibri" w:hAnsi="Calibri" w:cs="Calibri"/>
          <w:b/>
        </w:rPr>
        <w:t>ředitele podporovat ve využívání dalších možností hodnocení v rámci školní části přijímacího řízení (portfolia žáků, předpoklady pro daný obor, profilové testy…).</w:t>
      </w:r>
    </w:p>
    <w:p w:rsidR="00945DF0" w:rsidRPr="00452896" w:rsidRDefault="009E4ACE" w:rsidP="00D7271C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b/>
        </w:rPr>
      </w:pPr>
      <w:r w:rsidRPr="00452896">
        <w:rPr>
          <w:rFonts w:ascii="Calibri" w:hAnsi="Calibri" w:cs="Calibri"/>
          <w:b/>
        </w:rPr>
        <w:t xml:space="preserve">Upravit státní maturitní zkoušku </w:t>
      </w:r>
      <w:r w:rsidRPr="00452896">
        <w:rPr>
          <w:rFonts w:ascii="Calibri" w:hAnsi="Calibri" w:cs="Calibri"/>
        </w:rPr>
        <w:t xml:space="preserve">-  bude zachována jako nástroj standardizace výstupů. Didaktické testy stanoví v základní verzi minimum znalostí a dovedností, kterých má dosáhnout každý žák maturitního oboru, maturitní zkouška jako celek bude více reflektovat kompetenční model vzdělávání, </w:t>
      </w:r>
      <w:r w:rsidRPr="00452896">
        <w:rPr>
          <w:rFonts w:ascii="Calibri" w:hAnsi="Calibri" w:cs="Calibri"/>
          <w:b/>
        </w:rPr>
        <w:t>ředitelům poskytovat podporu při utváření koncepce a realizaci školní části maturitní zkoušky,</w:t>
      </w:r>
      <w:r w:rsidRPr="00452896">
        <w:rPr>
          <w:rFonts w:ascii="Calibri" w:hAnsi="Calibri" w:cs="Calibri"/>
        </w:rPr>
        <w:t xml:space="preserve">  cílem školní části maturitní zkoušky je komplexní ověření osvojení výstupů vzdělávacího programu s </w:t>
      </w:r>
      <w:r w:rsidR="00452896">
        <w:rPr>
          <w:rFonts w:ascii="Calibri" w:hAnsi="Calibri" w:cs="Calibri"/>
        </w:rPr>
        <w:t xml:space="preserve">důrazem na kompetenční pojetí, </w:t>
      </w:r>
      <w:r w:rsidRPr="00452896">
        <w:rPr>
          <w:rFonts w:ascii="Calibri" w:hAnsi="Calibri" w:cs="Calibri"/>
          <w:b/>
        </w:rPr>
        <w:t>vhodnými formami jsou mimo jiné ročníkové práce, portfolia žáků, praktické části maturitních zkoušek…</w:t>
      </w:r>
    </w:p>
    <w:p w:rsidR="009E4ACE" w:rsidRPr="00770BB2" w:rsidRDefault="009E4ACE" w:rsidP="00D7271C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452896">
        <w:t xml:space="preserve">Zvýšit kvalitu vzdělávání </w:t>
      </w:r>
      <w:r w:rsidRPr="00770BB2">
        <w:rPr>
          <w:b/>
        </w:rPr>
        <w:t>ve školách a regionech, které zaostávají za ostatními částmi vzdělávací soustavy</w:t>
      </w:r>
      <w:r w:rsidR="00452896" w:rsidRPr="00770BB2">
        <w:rPr>
          <w:b/>
        </w:rPr>
        <w:t>.</w:t>
      </w:r>
    </w:p>
    <w:p w:rsidR="009E4ACE" w:rsidRPr="00452896" w:rsidRDefault="009E4ACE" w:rsidP="00D7271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52896">
        <w:rPr>
          <w:b/>
        </w:rPr>
        <w:t>Zabránit tzv. digitálnímu vyloučení žáků</w:t>
      </w:r>
      <w:r w:rsidRPr="00452896">
        <w:t xml:space="preserve">, </w:t>
      </w:r>
      <w:r w:rsidRPr="00452896">
        <w:rPr>
          <w:rFonts w:ascii="Calibri" w:hAnsi="Calibri" w:cs="Calibri"/>
        </w:rPr>
        <w:t>pokud budou digitální technologie dostupné a budou ve vzdělávání na všech školách využívány vhodným způsobem, mohou významně přispívat ke snižování vzdělávacích nerovností.</w:t>
      </w:r>
    </w:p>
    <w:p w:rsidR="009E4ACE" w:rsidRPr="00452896" w:rsidRDefault="009E4ACE" w:rsidP="00D7271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52896">
        <w:rPr>
          <w:rFonts w:ascii="Calibri" w:hAnsi="Calibri" w:cs="Calibri"/>
          <w:b/>
        </w:rPr>
        <w:t xml:space="preserve">Vytvářet příležitosti zažít úspěch ve vzdělávání pro všechny žáky </w:t>
      </w:r>
      <w:r w:rsidRPr="00452896">
        <w:rPr>
          <w:rFonts w:ascii="Calibri" w:hAnsi="Calibri" w:cs="Calibri"/>
        </w:rPr>
        <w:t>bez ohledu na jejich socioekonomické a rodinné zázemí, zdravotní nebo jakékoliv jiné znevýhodnění.</w:t>
      </w:r>
    </w:p>
    <w:p w:rsidR="009E4ACE" w:rsidRPr="00452896" w:rsidRDefault="009E4ACE" w:rsidP="00D7271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52896">
        <w:rPr>
          <w:rFonts w:ascii="Calibri" w:hAnsi="Calibri" w:cs="Calibri"/>
        </w:rPr>
        <w:t xml:space="preserve">Zvýšit </w:t>
      </w:r>
      <w:r w:rsidRPr="00452896">
        <w:rPr>
          <w:rFonts w:ascii="Calibri" w:hAnsi="Calibri" w:cs="Calibri"/>
          <w:b/>
        </w:rPr>
        <w:t>účast na předškolním vzdělávání</w:t>
      </w:r>
      <w:r w:rsidRPr="00452896">
        <w:rPr>
          <w:rFonts w:ascii="Calibri" w:hAnsi="Calibri" w:cs="Calibri"/>
        </w:rPr>
        <w:t xml:space="preserve"> u dětí ve věku 3 až 4 let. Vzdělávání v mateřských školách je svébytné vzdělávání provázející dítě v jeho vývojové životní etapě. Je vhodné, aby bylo včasně zahájeno, bylo zaměřené na rozvoj kompetencí důležitých pro úspěch v dalším stupni vzdělávání a na rozvoj sociálních dovedností dětí.</w:t>
      </w:r>
    </w:p>
    <w:p w:rsidR="009E4ACE" w:rsidRPr="00452896" w:rsidRDefault="009E4ACE" w:rsidP="00D7271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452896">
        <w:rPr>
          <w:rFonts w:ascii="Calibri" w:hAnsi="Calibri" w:cs="Calibri"/>
        </w:rPr>
        <w:t xml:space="preserve">Zároveň je nezbytně nutné </w:t>
      </w:r>
      <w:r w:rsidRPr="00452896">
        <w:rPr>
          <w:rFonts w:ascii="Calibri" w:hAnsi="Calibri" w:cs="Calibri"/>
          <w:b/>
        </w:rPr>
        <w:t>zapojovat rodiny do procesu vzdělávání.</w:t>
      </w:r>
    </w:p>
    <w:p w:rsidR="009E4ACE" w:rsidRPr="00452896" w:rsidRDefault="009E4ACE" w:rsidP="00D7271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52896">
        <w:rPr>
          <w:rFonts w:ascii="Calibri" w:hAnsi="Calibri" w:cs="Calibri"/>
          <w:b/>
        </w:rPr>
        <w:t>Podporovat školy všech stupňů ve spolupráci s dalšími mimoškolními organizacemi, zaměstnavateli a odbornými pracovišti</w:t>
      </w:r>
      <w:r w:rsidR="00341455">
        <w:rPr>
          <w:rFonts w:ascii="Calibri" w:hAnsi="Calibri" w:cs="Calibri"/>
          <w:b/>
        </w:rPr>
        <w:t>,</w:t>
      </w:r>
      <w:r w:rsidRPr="00452896">
        <w:rPr>
          <w:rFonts w:ascii="Calibri" w:hAnsi="Calibri" w:cs="Calibri"/>
          <w:b/>
        </w:rPr>
        <w:t xml:space="preserve"> </w:t>
      </w:r>
      <w:r w:rsidRPr="00452896">
        <w:rPr>
          <w:rFonts w:ascii="Calibri" w:hAnsi="Calibri" w:cs="Calibri"/>
        </w:rPr>
        <w:t xml:space="preserve">nastavit pravidla, která umožní </w:t>
      </w:r>
      <w:r w:rsidRPr="00341455">
        <w:rPr>
          <w:rFonts w:ascii="Calibri" w:hAnsi="Calibri" w:cs="Calibri"/>
          <w:b/>
        </w:rPr>
        <w:t>zohledňovat neformálně získané znalosti a dovednosti</w:t>
      </w:r>
      <w:r w:rsidRPr="00452896">
        <w:rPr>
          <w:rFonts w:ascii="Calibri" w:hAnsi="Calibri" w:cs="Calibri"/>
        </w:rPr>
        <w:t xml:space="preserve"> ve formálním vzdělávání žáka.</w:t>
      </w:r>
    </w:p>
    <w:p w:rsidR="00452896" w:rsidRPr="00452896" w:rsidRDefault="00452896" w:rsidP="0045289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452896">
        <w:t xml:space="preserve">Podporovat </w:t>
      </w:r>
      <w:r w:rsidRPr="00452896">
        <w:rPr>
          <w:b/>
        </w:rPr>
        <w:t xml:space="preserve">bezpečné prostředí ve školách, </w:t>
      </w:r>
      <w:proofErr w:type="spellStart"/>
      <w:r w:rsidRPr="00452896">
        <w:rPr>
          <w:b/>
        </w:rPr>
        <w:t>well</w:t>
      </w:r>
      <w:r w:rsidR="0018773E">
        <w:rPr>
          <w:b/>
        </w:rPr>
        <w:t>-</w:t>
      </w:r>
      <w:r w:rsidRPr="00452896">
        <w:rPr>
          <w:b/>
        </w:rPr>
        <w:t>being</w:t>
      </w:r>
      <w:proofErr w:type="spellEnd"/>
      <w:r w:rsidRPr="00452896">
        <w:rPr>
          <w:b/>
        </w:rPr>
        <w:t>,</w:t>
      </w:r>
      <w:r w:rsidRPr="00452896">
        <w:t xml:space="preserve"> </w:t>
      </w:r>
      <w:r w:rsidRPr="00452896">
        <w:rPr>
          <w:rFonts w:ascii="Calibri" w:hAnsi="Calibri" w:cs="Calibri"/>
        </w:rPr>
        <w:t>rozvíjet funkční sociální chování u žáků.</w:t>
      </w:r>
    </w:p>
    <w:p w:rsidR="00FB3B48" w:rsidRPr="00FB3B48" w:rsidRDefault="00452896" w:rsidP="00FB3B4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Style w:val="A10"/>
          <w:rFonts w:ascii="Calibri" w:hAnsi="Calibri" w:cs="Calibri"/>
          <w:color w:val="auto"/>
          <w:sz w:val="22"/>
          <w:szCs w:val="22"/>
        </w:rPr>
      </w:pPr>
      <w:r w:rsidRPr="00452896">
        <w:rPr>
          <w:rStyle w:val="A10"/>
          <w:sz w:val="22"/>
          <w:szCs w:val="22"/>
        </w:rPr>
        <w:t xml:space="preserve">Podporovat součinnost </w:t>
      </w:r>
      <w:r w:rsidRPr="00452896">
        <w:rPr>
          <w:rStyle w:val="A10"/>
          <w:b/>
          <w:sz w:val="22"/>
          <w:szCs w:val="22"/>
        </w:rPr>
        <w:t>a spolupráci škol v území,  spolupráci pedagogů i žáků</w:t>
      </w:r>
      <w:r>
        <w:rPr>
          <w:rStyle w:val="A10"/>
          <w:b/>
          <w:sz w:val="22"/>
          <w:szCs w:val="22"/>
        </w:rPr>
        <w:t>.</w:t>
      </w:r>
    </w:p>
    <w:p w:rsidR="006F061E" w:rsidRPr="00163628" w:rsidRDefault="001251C8" w:rsidP="006A565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Style w:val="A10"/>
          <w:rFonts w:ascii="Calibri" w:hAnsi="Calibri" w:cs="Calibri"/>
          <w:color w:val="auto"/>
          <w:sz w:val="22"/>
          <w:szCs w:val="22"/>
        </w:rPr>
      </w:pPr>
      <w:r w:rsidRPr="00FB3B48">
        <w:rPr>
          <w:rStyle w:val="Zdraznn"/>
          <w:rFonts w:cstheme="minorHAnsi"/>
          <w:b/>
          <w:i w:val="0"/>
          <w:shd w:val="clear" w:color="auto" w:fill="F5F5F5"/>
        </w:rPr>
        <w:t>V oblasti středního a vyššího odborného vzdělávání</w:t>
      </w:r>
      <w:r w:rsidRPr="00FB3B48">
        <w:rPr>
          <w:rStyle w:val="Zdraznn"/>
          <w:rFonts w:cstheme="minorHAnsi"/>
          <w:i w:val="0"/>
          <w:shd w:val="clear" w:color="auto" w:fill="F5F5F5"/>
        </w:rPr>
        <w:t xml:space="preserve"> </w:t>
      </w:r>
      <w:r w:rsidRPr="00FB3B48">
        <w:rPr>
          <w:rStyle w:val="Zdraznn"/>
          <w:rFonts w:cstheme="minorHAnsi"/>
          <w:shd w:val="clear" w:color="auto" w:fill="F5F5F5"/>
        </w:rPr>
        <w:t xml:space="preserve">– </w:t>
      </w:r>
      <w:r w:rsidRPr="00FB3B48">
        <w:rPr>
          <w:rFonts w:cstheme="minorHAnsi"/>
        </w:rPr>
        <w:t>nalézt optimální oborovou skladbu a následně revidovat rámcové vzdělávací programy.</w:t>
      </w:r>
    </w:p>
    <w:p w:rsidR="006F061E" w:rsidRPr="00452896" w:rsidRDefault="006F061E" w:rsidP="006A5655">
      <w:pPr>
        <w:autoSpaceDE w:val="0"/>
        <w:autoSpaceDN w:val="0"/>
        <w:adjustRightInd w:val="0"/>
        <w:rPr>
          <w:rStyle w:val="A10"/>
          <w:rFonts w:ascii="Calibri" w:hAnsi="Calibri" w:cs="Calibri"/>
          <w:color w:val="auto"/>
          <w:sz w:val="22"/>
          <w:szCs w:val="22"/>
        </w:rPr>
      </w:pPr>
    </w:p>
    <w:tbl>
      <w:tblPr>
        <w:tblStyle w:val="Mkatabulky"/>
        <w:tblW w:w="14312" w:type="dxa"/>
        <w:tblLook w:val="04A0" w:firstRow="1" w:lastRow="0" w:firstColumn="1" w:lastColumn="0" w:noHBand="0" w:noVBand="1"/>
      </w:tblPr>
      <w:tblGrid>
        <w:gridCol w:w="4531"/>
        <w:gridCol w:w="9781"/>
      </w:tblGrid>
      <w:tr w:rsidR="004E45F7" w:rsidTr="00180F57">
        <w:tc>
          <w:tcPr>
            <w:tcW w:w="4531" w:type="dxa"/>
          </w:tcPr>
          <w:p w:rsidR="004E45F7" w:rsidRPr="009820B0" w:rsidRDefault="004E45F7" w:rsidP="00180F57">
            <w:pPr>
              <w:rPr>
                <w:b/>
              </w:rPr>
            </w:pPr>
            <w:r w:rsidRPr="009820B0">
              <w:rPr>
                <w:b/>
              </w:rPr>
              <w:lastRenderedPageBreak/>
              <w:t>Zdroje informací k tématu</w:t>
            </w:r>
          </w:p>
        </w:tc>
        <w:tc>
          <w:tcPr>
            <w:tcW w:w="9781" w:type="dxa"/>
          </w:tcPr>
          <w:p w:rsidR="004E45F7" w:rsidRDefault="004E45F7" w:rsidP="00180F57"/>
        </w:tc>
      </w:tr>
      <w:tr w:rsidR="004E45F7" w:rsidTr="00180F57">
        <w:tc>
          <w:tcPr>
            <w:tcW w:w="4531" w:type="dxa"/>
          </w:tcPr>
          <w:p w:rsidR="004E45F7" w:rsidRDefault="004E45F7" w:rsidP="00180F57">
            <w:r>
              <w:t>Strategie 2030+</w:t>
            </w:r>
          </w:p>
          <w:p w:rsidR="004E45F7" w:rsidRDefault="006F5E6E" w:rsidP="00180F57">
            <w:pPr>
              <w:rPr>
                <w:rStyle w:val="Hypertextovodkaz"/>
              </w:rPr>
            </w:pPr>
            <w:hyperlink r:id="rId11" w:history="1">
              <w:r w:rsidR="004E45F7">
                <w:rPr>
                  <w:rStyle w:val="Hypertextovodkaz"/>
                </w:rPr>
                <w:t>Strategie vzdělávací politiky ČR do roku 2030+, MŠMT ČR (msmt.cz)</w:t>
              </w:r>
            </w:hyperlink>
          </w:p>
          <w:p w:rsidR="004E45F7" w:rsidRPr="006D27BD" w:rsidRDefault="004E45F7" w:rsidP="00180F57">
            <w:pPr>
              <w:rPr>
                <w:color w:val="0000FF"/>
                <w:u w:val="single"/>
              </w:rPr>
            </w:pPr>
          </w:p>
        </w:tc>
        <w:tc>
          <w:tcPr>
            <w:tcW w:w="9781" w:type="dxa"/>
          </w:tcPr>
          <w:p w:rsidR="006B7535" w:rsidRPr="006E16C2" w:rsidRDefault="006B7535" w:rsidP="006B753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E16C2">
              <w:rPr>
                <w:rFonts w:cstheme="minorHAnsi"/>
                <w:b/>
                <w:bCs/>
              </w:rPr>
              <w:t xml:space="preserve">Strategický cíl 1: </w:t>
            </w:r>
            <w:r w:rsidRPr="006E16C2">
              <w:rPr>
                <w:rFonts w:ascii="Calibri" w:hAnsi="Calibri" w:cs="Calibri"/>
              </w:rPr>
              <w:t>Zaměřit vzdělávání více na získávání kompetencí potřebných pro aktivní občanský, profesní a osobní život – str. 16 - 18</w:t>
            </w:r>
          </w:p>
          <w:p w:rsidR="00764B6B" w:rsidRPr="006E16C2" w:rsidRDefault="00764B6B" w:rsidP="006B75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E16C2">
              <w:rPr>
                <w:rFonts w:cstheme="minorHAnsi"/>
                <w:b/>
                <w:bCs/>
              </w:rPr>
              <w:t xml:space="preserve">Strategický cíl 2: </w:t>
            </w:r>
            <w:r w:rsidRPr="006E16C2">
              <w:rPr>
                <w:rFonts w:cstheme="minorHAnsi"/>
                <w:bCs/>
              </w:rPr>
              <w:t>Snížit nero</w:t>
            </w:r>
            <w:r w:rsidR="006B7535" w:rsidRPr="006E16C2">
              <w:rPr>
                <w:rFonts w:cstheme="minorHAnsi"/>
                <w:bCs/>
              </w:rPr>
              <w:t xml:space="preserve">vnosti v přístupu ke kvalitnímu </w:t>
            </w:r>
            <w:r w:rsidRPr="006E16C2">
              <w:rPr>
                <w:rFonts w:cstheme="minorHAnsi"/>
                <w:bCs/>
              </w:rPr>
              <w:t>vzdělávání a umožnit maximál</w:t>
            </w:r>
            <w:r w:rsidR="006B7535" w:rsidRPr="006E16C2">
              <w:rPr>
                <w:rFonts w:cstheme="minorHAnsi"/>
                <w:bCs/>
              </w:rPr>
              <w:t xml:space="preserve">ní rozvoj potenciálu dětí, žáků </w:t>
            </w:r>
            <w:r w:rsidRPr="006E16C2">
              <w:rPr>
                <w:rFonts w:cstheme="minorHAnsi"/>
                <w:bCs/>
              </w:rPr>
              <w:t>a studentů</w:t>
            </w:r>
            <w:r w:rsidR="00234F65" w:rsidRPr="006E16C2">
              <w:rPr>
                <w:rFonts w:cstheme="minorHAnsi"/>
                <w:bCs/>
              </w:rPr>
              <w:t xml:space="preserve"> – str. 19 - 20</w:t>
            </w:r>
          </w:p>
          <w:p w:rsidR="00487E23" w:rsidRDefault="00487E23" w:rsidP="0009731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097314" w:rsidRPr="006E16C2" w:rsidRDefault="00234F65" w:rsidP="0009731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6E16C2">
              <w:rPr>
                <w:rFonts w:cstheme="minorHAnsi"/>
                <w:b/>
                <w:bCs/>
              </w:rPr>
              <w:t xml:space="preserve">Strategická linie 1: </w:t>
            </w:r>
            <w:r w:rsidR="006B7535" w:rsidRPr="006E16C2">
              <w:rPr>
                <w:rFonts w:ascii="Calibri" w:hAnsi="Calibri" w:cs="Calibri"/>
                <w:b/>
              </w:rPr>
              <w:t>Proměna obsahu, způsobů a hodnocení vzdělávání</w:t>
            </w:r>
            <w:r w:rsidR="00B01284" w:rsidRPr="006E16C2">
              <w:rPr>
                <w:rFonts w:ascii="Calibri" w:hAnsi="Calibri" w:cs="Calibri"/>
                <w:b/>
              </w:rPr>
              <w:t xml:space="preserve"> – str. 25 - 40</w:t>
            </w:r>
          </w:p>
          <w:p w:rsidR="00097314" w:rsidRPr="006E16C2" w:rsidRDefault="00097314" w:rsidP="000973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E16C2">
              <w:rPr>
                <w:rFonts w:ascii="Calibri" w:hAnsi="Calibri" w:cs="Calibri"/>
              </w:rPr>
              <w:t xml:space="preserve">1.1 Proměna obsahu, </w:t>
            </w:r>
            <w:r w:rsidR="008E7C2D" w:rsidRPr="006E16C2">
              <w:rPr>
                <w:rFonts w:ascii="Calibri" w:hAnsi="Calibri" w:cs="Calibri"/>
              </w:rPr>
              <w:t>metod a forem ve vzdělávání</w:t>
            </w:r>
          </w:p>
          <w:p w:rsidR="00097314" w:rsidRPr="006E16C2" w:rsidRDefault="00097314" w:rsidP="000973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E16C2">
              <w:rPr>
                <w:rFonts w:ascii="Calibri" w:hAnsi="Calibri" w:cs="Calibri"/>
              </w:rPr>
              <w:t>1.2</w:t>
            </w:r>
            <w:r w:rsidR="008E7C2D" w:rsidRPr="006E16C2">
              <w:rPr>
                <w:rFonts w:ascii="Calibri" w:hAnsi="Calibri" w:cs="Calibri"/>
              </w:rPr>
              <w:t xml:space="preserve"> Inovace ve vzdělávání</w:t>
            </w:r>
          </w:p>
          <w:p w:rsidR="00097314" w:rsidRPr="006E16C2" w:rsidRDefault="00097314" w:rsidP="000973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E16C2">
              <w:rPr>
                <w:rFonts w:ascii="Calibri" w:hAnsi="Calibri" w:cs="Calibri"/>
              </w:rPr>
              <w:t>1.3</w:t>
            </w:r>
            <w:r w:rsidR="008E7C2D" w:rsidRPr="006E16C2">
              <w:rPr>
                <w:rFonts w:ascii="Calibri" w:hAnsi="Calibri" w:cs="Calibri"/>
              </w:rPr>
              <w:t xml:space="preserve"> Hodnocení ve vzdělávání</w:t>
            </w:r>
          </w:p>
          <w:p w:rsidR="00097314" w:rsidRPr="006E16C2" w:rsidRDefault="00097314" w:rsidP="000973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E16C2">
              <w:rPr>
                <w:rFonts w:ascii="Calibri" w:hAnsi="Calibri" w:cs="Calibri"/>
              </w:rPr>
              <w:t>1.4</w:t>
            </w:r>
            <w:r w:rsidR="008E7C2D" w:rsidRPr="006E16C2">
              <w:rPr>
                <w:rFonts w:ascii="Calibri" w:hAnsi="Calibri" w:cs="Calibri"/>
              </w:rPr>
              <w:t xml:space="preserve"> Digitální vzdělávání</w:t>
            </w:r>
          </w:p>
          <w:p w:rsidR="00097314" w:rsidRPr="006E16C2" w:rsidRDefault="00097314" w:rsidP="000973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E16C2">
              <w:rPr>
                <w:rFonts w:ascii="Calibri" w:hAnsi="Calibri" w:cs="Calibri"/>
              </w:rPr>
              <w:t>1.5</w:t>
            </w:r>
            <w:r w:rsidR="008E7C2D" w:rsidRPr="006E16C2">
              <w:rPr>
                <w:rFonts w:ascii="Calibri" w:hAnsi="Calibri" w:cs="Calibri"/>
              </w:rPr>
              <w:t xml:space="preserve"> Občanské vzdělávání</w:t>
            </w:r>
          </w:p>
          <w:p w:rsidR="00097314" w:rsidRPr="006E16C2" w:rsidRDefault="00097314" w:rsidP="000973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E16C2">
              <w:rPr>
                <w:rFonts w:ascii="Calibri" w:hAnsi="Calibri" w:cs="Calibri"/>
              </w:rPr>
              <w:t>1.6</w:t>
            </w:r>
            <w:r w:rsidR="008E7C2D" w:rsidRPr="006E16C2">
              <w:rPr>
                <w:rFonts w:ascii="Calibri" w:hAnsi="Calibri" w:cs="Calibri"/>
              </w:rPr>
              <w:t xml:space="preserve"> Bezpečné prostředí ve školách, rozvoj participace a autonomie</w:t>
            </w:r>
          </w:p>
          <w:p w:rsidR="00097314" w:rsidRPr="006E16C2" w:rsidRDefault="00097314" w:rsidP="000973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E16C2">
              <w:rPr>
                <w:rFonts w:ascii="Calibri" w:hAnsi="Calibri" w:cs="Calibri"/>
              </w:rPr>
              <w:t>1.7</w:t>
            </w:r>
            <w:r w:rsidR="008E7C2D" w:rsidRPr="006E16C2">
              <w:rPr>
                <w:rFonts w:ascii="Calibri" w:hAnsi="Calibri" w:cs="Calibri"/>
              </w:rPr>
              <w:t xml:space="preserve"> Odborné vzdělávání ve středních a vyšších odborných školách</w:t>
            </w:r>
          </w:p>
          <w:p w:rsidR="00097314" w:rsidRPr="006E16C2" w:rsidRDefault="00097314" w:rsidP="0009731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6E16C2">
              <w:rPr>
                <w:rFonts w:ascii="Calibri" w:hAnsi="Calibri" w:cs="Calibri"/>
              </w:rPr>
              <w:t>1.8</w:t>
            </w:r>
            <w:r w:rsidR="008E7C2D" w:rsidRPr="006E16C2">
              <w:rPr>
                <w:rFonts w:ascii="Calibri" w:hAnsi="Calibri" w:cs="Calibri"/>
              </w:rPr>
              <w:t xml:space="preserve"> Neformální vzdělávání a celoživotní učení</w:t>
            </w:r>
          </w:p>
          <w:p w:rsidR="004E45F7" w:rsidRPr="006E16C2" w:rsidRDefault="00764B6B" w:rsidP="00764B6B">
            <w:pPr>
              <w:rPr>
                <w:rFonts w:cstheme="minorHAnsi"/>
                <w:b/>
                <w:bCs/>
              </w:rPr>
            </w:pPr>
            <w:r w:rsidRPr="006E16C2">
              <w:rPr>
                <w:rFonts w:cstheme="minorHAnsi"/>
                <w:b/>
                <w:bCs/>
              </w:rPr>
              <w:t>Strategická linie 2</w:t>
            </w:r>
            <w:r w:rsidR="004E45F7" w:rsidRPr="006E16C2">
              <w:rPr>
                <w:rFonts w:cstheme="minorHAnsi"/>
                <w:b/>
                <w:bCs/>
              </w:rPr>
              <w:t xml:space="preserve">: </w:t>
            </w:r>
            <w:r w:rsidRPr="006E16C2">
              <w:rPr>
                <w:rFonts w:cstheme="minorHAnsi"/>
                <w:b/>
                <w:bCs/>
              </w:rPr>
              <w:t>Rovný přístup ke kvalitnímu vzdělávání</w:t>
            </w:r>
            <w:r w:rsidR="00B01284" w:rsidRPr="006E16C2">
              <w:rPr>
                <w:rFonts w:cstheme="minorHAnsi"/>
                <w:b/>
                <w:bCs/>
              </w:rPr>
              <w:t xml:space="preserve"> – str. 44 - 48</w:t>
            </w:r>
          </w:p>
          <w:p w:rsidR="00764B6B" w:rsidRPr="006E16C2" w:rsidRDefault="00234F65" w:rsidP="00764B6B">
            <w:pPr>
              <w:rPr>
                <w:rFonts w:cstheme="minorHAnsi"/>
                <w:bCs/>
              </w:rPr>
            </w:pPr>
            <w:r w:rsidRPr="006E16C2">
              <w:rPr>
                <w:rFonts w:cstheme="minorHAnsi"/>
                <w:bCs/>
              </w:rPr>
              <w:t xml:space="preserve">2.1 </w:t>
            </w:r>
            <w:r w:rsidR="00764B6B" w:rsidRPr="006E16C2">
              <w:rPr>
                <w:rFonts w:cstheme="minorHAnsi"/>
                <w:bCs/>
              </w:rPr>
              <w:t xml:space="preserve"> Omezení vnější diferenciace školství</w:t>
            </w:r>
          </w:p>
          <w:p w:rsidR="00764B6B" w:rsidRPr="006E16C2" w:rsidRDefault="00764B6B" w:rsidP="00764B6B">
            <w:pPr>
              <w:rPr>
                <w:rFonts w:cstheme="minorHAnsi"/>
                <w:bCs/>
              </w:rPr>
            </w:pPr>
            <w:r w:rsidRPr="006E16C2">
              <w:rPr>
                <w:rFonts w:cstheme="minorHAnsi"/>
                <w:bCs/>
              </w:rPr>
              <w:t>2.2  Disparity a segregace</w:t>
            </w:r>
          </w:p>
          <w:p w:rsidR="00764B6B" w:rsidRDefault="00764B6B" w:rsidP="00764B6B">
            <w:pPr>
              <w:rPr>
                <w:rFonts w:cstheme="minorHAnsi"/>
                <w:bCs/>
              </w:rPr>
            </w:pPr>
            <w:r w:rsidRPr="006E16C2">
              <w:rPr>
                <w:rFonts w:cstheme="minorHAnsi"/>
                <w:bCs/>
              </w:rPr>
              <w:t>2.3  Case management a mezirezortní spolupráce</w:t>
            </w:r>
          </w:p>
          <w:p w:rsidR="00487E23" w:rsidRDefault="00487E23" w:rsidP="00764B6B">
            <w:pPr>
              <w:rPr>
                <w:rFonts w:cstheme="minorHAnsi"/>
                <w:bCs/>
              </w:rPr>
            </w:pPr>
          </w:p>
          <w:p w:rsidR="008E7C2D" w:rsidRPr="00781C57" w:rsidRDefault="008E7C2D" w:rsidP="008E7C2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781C57">
              <w:rPr>
                <w:rFonts w:ascii="Calibri" w:hAnsi="Calibri" w:cs="Calibri"/>
                <w:b/>
              </w:rPr>
              <w:t>Implementační karta</w:t>
            </w:r>
          </w:p>
          <w:p w:rsidR="008E7C2D" w:rsidRPr="00781C57" w:rsidRDefault="008E7C2D" w:rsidP="008E7C2D">
            <w:pPr>
              <w:rPr>
                <w:rFonts w:cstheme="minorHAnsi"/>
                <w:b/>
                <w:bCs/>
                <w:color w:val="0070C0"/>
              </w:rPr>
            </w:pPr>
            <w:r w:rsidRPr="00781C57">
              <w:rPr>
                <w:rFonts w:cstheme="minorHAnsi"/>
                <w:b/>
                <w:bCs/>
                <w:color w:val="0070C0"/>
              </w:rPr>
              <w:t>„Zvýšení kvality vzdělávání ve strukturálně postižených regionech“- 2021 – 2023 (disparity)</w:t>
            </w:r>
          </w:p>
          <w:p w:rsidR="008E7C2D" w:rsidRPr="00781C57" w:rsidRDefault="008E7C2D" w:rsidP="008E7C2D">
            <w:pPr>
              <w:rPr>
                <w:rStyle w:val="Zdraznn"/>
                <w:rFonts w:cstheme="minorHAnsi"/>
                <w:b/>
                <w:color w:val="0070C0"/>
                <w:shd w:val="clear" w:color="auto" w:fill="F5F5F5"/>
              </w:rPr>
            </w:pPr>
            <w:r w:rsidRPr="00781C57">
              <w:rPr>
                <w:rStyle w:val="Zdraznn"/>
                <w:rFonts w:cstheme="minorHAnsi"/>
                <w:b/>
                <w:color w:val="0070C0"/>
                <w:shd w:val="clear" w:color="auto" w:fill="F5F5F5"/>
              </w:rPr>
              <w:t>Zvýšit kvalitu vzdělávání ve strukturálně postižených krajích s důrazem na zvýšení účasti dětí v předškolním vzdělávání, metodickou podporu škol vzdělávajících vysoký podíl sociálně znevýhodněných žáků a jejich zřizovatelů.</w:t>
            </w:r>
          </w:p>
          <w:p w:rsidR="00755B2E" w:rsidRDefault="00755B2E" w:rsidP="009F05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</w:p>
          <w:p w:rsidR="009F051F" w:rsidRPr="00781C57" w:rsidRDefault="009F051F" w:rsidP="009F05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781C57">
              <w:rPr>
                <w:rFonts w:ascii="Calibri" w:hAnsi="Calibri" w:cs="Calibri"/>
                <w:b/>
                <w:i/>
              </w:rPr>
              <w:t xml:space="preserve">Implementační karta </w:t>
            </w:r>
          </w:p>
          <w:p w:rsidR="009F051F" w:rsidRPr="00781C57" w:rsidRDefault="009F051F" w:rsidP="009F051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70C0"/>
              </w:rPr>
            </w:pPr>
            <w:r w:rsidRPr="00781C57">
              <w:rPr>
                <w:rFonts w:ascii="Calibri" w:hAnsi="Calibri" w:cs="Calibri"/>
                <w:b/>
                <w:i/>
                <w:color w:val="0070C0"/>
              </w:rPr>
              <w:t>„Podpora předškolního vzdělávání“ - 2020 – 2024</w:t>
            </w:r>
          </w:p>
          <w:p w:rsidR="008E7C2D" w:rsidRPr="006F061E" w:rsidRDefault="009F051F" w:rsidP="006F061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color w:val="0070C0"/>
                <w:shd w:val="clear" w:color="auto" w:fill="F5F5F5"/>
              </w:rPr>
            </w:pPr>
            <w:r w:rsidRPr="00781C57">
              <w:rPr>
                <w:rStyle w:val="Zdraznn"/>
                <w:rFonts w:cstheme="minorHAnsi"/>
                <w:b/>
                <w:color w:val="0070C0"/>
                <w:shd w:val="clear" w:color="auto" w:fill="F5F5F5"/>
              </w:rPr>
              <w:t>Zvyšovat kvalitu předškolního vzdělávání a zapojovat do něj čím dál více dětí – proměna obsahu vzdělávání s důrazem na klíčové kompetence, podpora pedagogů a individualizovaná práce s dětmi.</w:t>
            </w:r>
          </w:p>
        </w:tc>
      </w:tr>
      <w:tr w:rsidR="004E45F7" w:rsidTr="00180F57">
        <w:tc>
          <w:tcPr>
            <w:tcW w:w="4531" w:type="dxa"/>
          </w:tcPr>
          <w:p w:rsidR="004E45F7" w:rsidRDefault="004E45F7" w:rsidP="00180F57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Hlavní směry vzdělávací politiky </w:t>
            </w:r>
            <w:r w:rsidRPr="00AA1A5A">
              <w:rPr>
                <w:rFonts w:cstheme="minorHAnsi"/>
              </w:rPr>
              <w:t>do roku 2030+</w:t>
            </w:r>
          </w:p>
          <w:p w:rsidR="004E45F7" w:rsidRPr="00AA1A5A" w:rsidRDefault="006F5E6E" w:rsidP="00180F57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cstheme="minorHAnsi"/>
              </w:rPr>
            </w:pPr>
            <w:hyperlink r:id="rId12" w:history="1">
              <w:r w:rsidR="004E45F7">
                <w:rPr>
                  <w:rStyle w:val="Hypertextovodkaz"/>
                </w:rPr>
                <w:t>Hlavní směry vzdělávací politiky ČR 2030+, MŠMT ČR (msmt.cz)</w:t>
              </w:r>
            </w:hyperlink>
          </w:p>
        </w:tc>
        <w:tc>
          <w:tcPr>
            <w:tcW w:w="9781" w:type="dxa"/>
          </w:tcPr>
          <w:p w:rsidR="00FC2ED2" w:rsidRPr="006E16C2" w:rsidRDefault="00FC2ED2" w:rsidP="00180F57">
            <w:pPr>
              <w:rPr>
                <w:rStyle w:val="A8"/>
                <w:color w:val="auto"/>
                <w:sz w:val="22"/>
                <w:szCs w:val="22"/>
              </w:rPr>
            </w:pPr>
            <w:r w:rsidRPr="006E16C2">
              <w:rPr>
                <w:rStyle w:val="A8"/>
                <w:b/>
                <w:color w:val="auto"/>
                <w:sz w:val="22"/>
                <w:szCs w:val="22"/>
              </w:rPr>
              <w:t>SC1: Zaměřit vzdělávání více na získání kompetencí, potřebných pro aktivní občanský, profesní i osobní život</w:t>
            </w:r>
            <w:r w:rsidRPr="006E16C2">
              <w:rPr>
                <w:rStyle w:val="A8"/>
                <w:color w:val="auto"/>
                <w:sz w:val="22"/>
                <w:szCs w:val="22"/>
              </w:rPr>
              <w:t xml:space="preserve"> – str.</w:t>
            </w:r>
            <w:r w:rsidR="00310928" w:rsidRPr="006E16C2">
              <w:rPr>
                <w:rStyle w:val="A8"/>
                <w:color w:val="auto"/>
                <w:sz w:val="22"/>
                <w:szCs w:val="22"/>
              </w:rPr>
              <w:t xml:space="preserve"> 16 - 20</w:t>
            </w:r>
          </w:p>
          <w:p w:rsidR="00FC2ED2" w:rsidRPr="006E16C2" w:rsidRDefault="00FC2ED2" w:rsidP="00180F57">
            <w:pPr>
              <w:rPr>
                <w:rStyle w:val="A8"/>
                <w:color w:val="auto"/>
                <w:sz w:val="22"/>
                <w:szCs w:val="22"/>
              </w:rPr>
            </w:pPr>
            <w:r w:rsidRPr="006E16C2">
              <w:rPr>
                <w:rStyle w:val="A8"/>
                <w:b/>
                <w:color w:val="auto"/>
                <w:sz w:val="22"/>
                <w:szCs w:val="22"/>
              </w:rPr>
              <w:t>SC2: Snížit nerovnosti v přístupu ke kvalitnímu vzdělávání a umožnit maximální rozvoj potenciálu žáků a studentů</w:t>
            </w:r>
            <w:r w:rsidRPr="006E16C2">
              <w:rPr>
                <w:rStyle w:val="A8"/>
                <w:color w:val="auto"/>
                <w:sz w:val="22"/>
                <w:szCs w:val="22"/>
              </w:rPr>
              <w:t xml:space="preserve"> – str.</w:t>
            </w:r>
            <w:r w:rsidR="00310928" w:rsidRPr="006E16C2">
              <w:rPr>
                <w:rStyle w:val="A8"/>
                <w:color w:val="auto"/>
                <w:sz w:val="22"/>
                <w:szCs w:val="22"/>
              </w:rPr>
              <w:t xml:space="preserve"> 20 - 26</w:t>
            </w:r>
          </w:p>
          <w:p w:rsidR="00FC2ED2" w:rsidRPr="006E16C2" w:rsidRDefault="00FC2ED2" w:rsidP="00180F57">
            <w:pPr>
              <w:rPr>
                <w:rStyle w:val="A8"/>
                <w:color w:val="auto"/>
                <w:sz w:val="22"/>
                <w:szCs w:val="22"/>
              </w:rPr>
            </w:pPr>
            <w:r w:rsidRPr="006E16C2">
              <w:rPr>
                <w:rStyle w:val="A8"/>
                <w:b/>
                <w:color w:val="auto"/>
                <w:sz w:val="22"/>
                <w:szCs w:val="22"/>
              </w:rPr>
              <w:t>7.1 SL1: Proměna obsahu a způsobu vzdělávání</w:t>
            </w:r>
            <w:r w:rsidRPr="006E16C2">
              <w:rPr>
                <w:rStyle w:val="A8"/>
                <w:color w:val="auto"/>
                <w:sz w:val="22"/>
                <w:szCs w:val="22"/>
              </w:rPr>
              <w:t xml:space="preserve"> – str. 27  - 41</w:t>
            </w:r>
          </w:p>
          <w:p w:rsidR="00C91D08" w:rsidRPr="006E16C2" w:rsidRDefault="00C91D08" w:rsidP="00180F57"/>
        </w:tc>
      </w:tr>
      <w:tr w:rsidR="004E45F7" w:rsidTr="00180F57">
        <w:tc>
          <w:tcPr>
            <w:tcW w:w="4531" w:type="dxa"/>
          </w:tcPr>
          <w:p w:rsidR="004E45F7" w:rsidRDefault="004E45F7" w:rsidP="00180F57">
            <w:r>
              <w:t xml:space="preserve">Dlouhodobý záměr </w:t>
            </w:r>
            <w:r w:rsidRPr="009E5ECA">
              <w:t>vzdělávání a rozvoje vzdělávací soustavy ČR</w:t>
            </w:r>
            <w:r>
              <w:t xml:space="preserve"> 2019-2023</w:t>
            </w:r>
          </w:p>
          <w:p w:rsidR="004E45F7" w:rsidRDefault="006F5E6E" w:rsidP="00180F57">
            <w:hyperlink r:id="rId13" w:history="1">
              <w:r w:rsidR="004E45F7">
                <w:rPr>
                  <w:rStyle w:val="Hypertextovodkaz"/>
                </w:rPr>
                <w:t>DZ ČR 2019-2023, MŠMT ČR (msmt.cz)</w:t>
              </w:r>
            </w:hyperlink>
          </w:p>
        </w:tc>
        <w:tc>
          <w:tcPr>
            <w:tcW w:w="9781" w:type="dxa"/>
          </w:tcPr>
          <w:p w:rsidR="0065731D" w:rsidRPr="006E16C2" w:rsidRDefault="0065731D" w:rsidP="0065731D">
            <w:pPr>
              <w:rPr>
                <w:rFonts w:cstheme="minorHAnsi"/>
                <w:b/>
                <w:bCs/>
              </w:rPr>
            </w:pPr>
            <w:r w:rsidRPr="006E16C2">
              <w:rPr>
                <w:rFonts w:cstheme="minorHAnsi"/>
                <w:b/>
                <w:bCs/>
              </w:rPr>
              <w:t>1. Rozvoj společnosti a vzdělávání</w:t>
            </w:r>
          </w:p>
          <w:p w:rsidR="0065731D" w:rsidRPr="006E16C2" w:rsidRDefault="0065731D" w:rsidP="0065731D">
            <w:pPr>
              <w:rPr>
                <w:rFonts w:cstheme="minorHAnsi"/>
                <w:b/>
                <w:bCs/>
              </w:rPr>
            </w:pPr>
            <w:r w:rsidRPr="006E16C2">
              <w:rPr>
                <w:rFonts w:cstheme="minorHAnsi"/>
              </w:rPr>
              <w:t>1.1.3 Vzdělávání – str. 15 - 18</w:t>
            </w:r>
          </w:p>
          <w:p w:rsidR="0065731D" w:rsidRPr="006E16C2" w:rsidRDefault="0065731D" w:rsidP="00180F57">
            <w:pPr>
              <w:rPr>
                <w:rFonts w:cstheme="minorHAnsi"/>
                <w:b/>
                <w:bCs/>
              </w:rPr>
            </w:pPr>
            <w:r w:rsidRPr="006E16C2">
              <w:rPr>
                <w:rFonts w:cstheme="minorHAnsi"/>
                <w:b/>
                <w:bCs/>
              </w:rPr>
              <w:t>2. Strategie rozvoje regionálního školství</w:t>
            </w:r>
          </w:p>
          <w:p w:rsidR="0065731D" w:rsidRPr="006E16C2" w:rsidRDefault="0065731D" w:rsidP="00180F57">
            <w:pPr>
              <w:rPr>
                <w:rFonts w:cstheme="minorHAnsi"/>
                <w:b/>
                <w:bCs/>
              </w:rPr>
            </w:pPr>
            <w:r w:rsidRPr="006E16C2">
              <w:rPr>
                <w:rFonts w:cstheme="minorHAnsi"/>
                <w:b/>
                <w:bCs/>
              </w:rPr>
              <w:t>2.2 Další cíle ministerstva podle oblastí vzdělávání</w:t>
            </w:r>
          </w:p>
          <w:p w:rsidR="0065731D" w:rsidRPr="006E16C2" w:rsidRDefault="0065731D" w:rsidP="00180F57">
            <w:pPr>
              <w:rPr>
                <w:rFonts w:cstheme="minorHAnsi"/>
                <w:bCs/>
              </w:rPr>
            </w:pPr>
            <w:r w:rsidRPr="006E16C2">
              <w:rPr>
                <w:rFonts w:cstheme="minorHAnsi"/>
                <w:bCs/>
              </w:rPr>
              <w:t>B. Předškolní vzdělávání –  str. 31</w:t>
            </w:r>
          </w:p>
          <w:p w:rsidR="0065731D" w:rsidRPr="006E16C2" w:rsidRDefault="0065731D" w:rsidP="00180F57">
            <w:pPr>
              <w:rPr>
                <w:rFonts w:cstheme="minorHAnsi"/>
                <w:bCs/>
              </w:rPr>
            </w:pPr>
            <w:r w:rsidRPr="006E16C2">
              <w:rPr>
                <w:rFonts w:cstheme="minorHAnsi"/>
                <w:bCs/>
              </w:rPr>
              <w:t>C. Základní vzdělávání – str. 41 - 42</w:t>
            </w:r>
          </w:p>
          <w:p w:rsidR="0065731D" w:rsidRDefault="0065731D" w:rsidP="00180F57">
            <w:pPr>
              <w:rPr>
                <w:rFonts w:cstheme="minorHAnsi"/>
                <w:bCs/>
              </w:rPr>
            </w:pPr>
            <w:r w:rsidRPr="006E16C2">
              <w:rPr>
                <w:rFonts w:cstheme="minorHAnsi"/>
                <w:bCs/>
              </w:rPr>
              <w:t>D. Střední vzdělávání – str. 48</w:t>
            </w:r>
          </w:p>
          <w:p w:rsidR="00701D77" w:rsidRPr="006E16C2" w:rsidRDefault="00701D77" w:rsidP="00180F5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E. Vyšší odborné vzdělávání – str. 54</w:t>
            </w:r>
          </w:p>
          <w:p w:rsidR="0065731D" w:rsidRPr="006E16C2" w:rsidRDefault="0065731D" w:rsidP="0065731D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6E16C2">
              <w:rPr>
                <w:rFonts w:cstheme="minorHAnsi"/>
                <w:bCs/>
              </w:rPr>
              <w:t>F. Hodnocení žáků, škol a školského systému – str. 57 - 59</w:t>
            </w:r>
          </w:p>
          <w:p w:rsidR="0065731D" w:rsidRDefault="0065731D" w:rsidP="007B2413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6E16C2">
              <w:rPr>
                <w:rFonts w:cstheme="minorHAnsi"/>
                <w:bCs/>
              </w:rPr>
              <w:t>G. Rovné příležitosti ve vzdělávání</w:t>
            </w:r>
            <w:r w:rsidR="007B2413" w:rsidRPr="006E16C2">
              <w:rPr>
                <w:rFonts w:cstheme="minorHAnsi"/>
                <w:bCs/>
              </w:rPr>
              <w:t xml:space="preserve">, poradenství, vzdělávání dětí, </w:t>
            </w:r>
            <w:r w:rsidRPr="006E16C2">
              <w:rPr>
                <w:rFonts w:cstheme="minorHAnsi"/>
                <w:bCs/>
              </w:rPr>
              <w:t>žáků a studentů se speciálními vzdělávacími potřebami</w:t>
            </w:r>
            <w:r w:rsidR="007B2413" w:rsidRPr="006E16C2">
              <w:rPr>
                <w:rFonts w:cstheme="minorHAnsi"/>
                <w:bCs/>
              </w:rPr>
              <w:t xml:space="preserve"> – str. 65 </w:t>
            </w:r>
            <w:r w:rsidR="00764861">
              <w:rPr>
                <w:rFonts w:cstheme="minorHAnsi"/>
                <w:bCs/>
              </w:rPr>
              <w:t>–</w:t>
            </w:r>
            <w:r w:rsidR="007B2413" w:rsidRPr="006E16C2">
              <w:rPr>
                <w:rFonts w:cstheme="minorHAnsi"/>
                <w:bCs/>
              </w:rPr>
              <w:t xml:space="preserve"> 71</w:t>
            </w:r>
          </w:p>
          <w:p w:rsidR="00764861" w:rsidRPr="006E16C2" w:rsidRDefault="00764861" w:rsidP="007B2413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I. Základní umělecké, jazykové a zájmové vzdělávání – str. 79</w:t>
            </w:r>
          </w:p>
          <w:p w:rsidR="004E45F7" w:rsidRPr="006E16C2" w:rsidRDefault="004E45F7" w:rsidP="00180F57">
            <w:pPr>
              <w:rPr>
                <w:rFonts w:cstheme="minorHAnsi"/>
              </w:rPr>
            </w:pPr>
          </w:p>
        </w:tc>
      </w:tr>
      <w:tr w:rsidR="00067009" w:rsidTr="00180F57">
        <w:tc>
          <w:tcPr>
            <w:tcW w:w="4531" w:type="dxa"/>
          </w:tcPr>
          <w:p w:rsidR="00067009" w:rsidRDefault="00067009" w:rsidP="00180F57">
            <w:r>
              <w:t>Národní plán obnovy v gesci MŠMT</w:t>
            </w:r>
          </w:p>
        </w:tc>
        <w:tc>
          <w:tcPr>
            <w:tcW w:w="9781" w:type="dxa"/>
          </w:tcPr>
          <w:p w:rsidR="00067009" w:rsidRDefault="006F5E6E" w:rsidP="0065731D">
            <w:hyperlink r:id="rId14" w:history="1">
              <w:r w:rsidR="00067009">
                <w:rPr>
                  <w:rStyle w:val="Hypertextovodkaz"/>
                </w:rPr>
                <w:t>Národní plán obnovy v gesci MŠMT – edu.cz</w:t>
              </w:r>
            </w:hyperlink>
          </w:p>
          <w:p w:rsidR="00067009" w:rsidRDefault="006F5E6E" w:rsidP="00067009">
            <w:pPr>
              <w:tabs>
                <w:tab w:val="left" w:pos="5470"/>
              </w:tabs>
            </w:pPr>
            <w:hyperlink r:id="rId15" w:history="1">
              <w:r w:rsidR="00067009">
                <w:rPr>
                  <w:rStyle w:val="Hypertextovodkaz"/>
                </w:rPr>
                <w:t>Národní plán obnovy (planobnovycr.cz)</w:t>
              </w:r>
            </w:hyperlink>
            <w:r w:rsidR="00067009">
              <w:tab/>
            </w:r>
          </w:p>
          <w:p w:rsidR="00E91761" w:rsidRPr="006E16C2" w:rsidRDefault="00E91761" w:rsidP="00067009">
            <w:pPr>
              <w:tabs>
                <w:tab w:val="left" w:pos="5470"/>
              </w:tabs>
              <w:rPr>
                <w:rFonts w:cstheme="minorHAnsi"/>
                <w:b/>
                <w:bCs/>
              </w:rPr>
            </w:pPr>
          </w:p>
        </w:tc>
      </w:tr>
      <w:tr w:rsidR="004E45F7" w:rsidTr="00180F57">
        <w:tc>
          <w:tcPr>
            <w:tcW w:w="4531" w:type="dxa"/>
          </w:tcPr>
          <w:p w:rsidR="004E45F7" w:rsidRDefault="004E45F7" w:rsidP="00180F57">
            <w:r>
              <w:t>OP JAK</w:t>
            </w:r>
          </w:p>
          <w:p w:rsidR="004E45F7" w:rsidRDefault="006F5E6E" w:rsidP="00180F57">
            <w:pPr>
              <w:rPr>
                <w:rStyle w:val="Hypertextovodkaz"/>
              </w:rPr>
            </w:pPr>
            <w:hyperlink r:id="rId16" w:history="1">
              <w:r w:rsidR="004E45F7">
                <w:rPr>
                  <w:rStyle w:val="Hypertextovodkaz"/>
                </w:rPr>
                <w:t>OP_JAK_v2.4.pdf (opjak.cz)</w:t>
              </w:r>
            </w:hyperlink>
          </w:p>
          <w:p w:rsidR="006B7F90" w:rsidRDefault="006F5E6E" w:rsidP="00180F57">
            <w:hyperlink r:id="rId17" w:history="1">
              <w:r w:rsidR="006B7F90">
                <w:rPr>
                  <w:rStyle w:val="Hypertextovodkaz"/>
                </w:rPr>
                <w:t>Výzvy – OP JAK</w:t>
              </w:r>
            </w:hyperlink>
          </w:p>
          <w:p w:rsidR="004E45F7" w:rsidRDefault="004E45F7" w:rsidP="00180F57"/>
        </w:tc>
        <w:tc>
          <w:tcPr>
            <w:tcW w:w="9781" w:type="dxa"/>
          </w:tcPr>
          <w:p w:rsidR="004E45F7" w:rsidRPr="006E16C2" w:rsidRDefault="004E45F7" w:rsidP="00180F57">
            <w:r w:rsidRPr="006E16C2">
              <w:rPr>
                <w:b/>
              </w:rPr>
              <w:t>Programový dokument OP JAK</w:t>
            </w:r>
            <w:r w:rsidRPr="006E16C2">
              <w:t xml:space="preserve"> </w:t>
            </w:r>
          </w:p>
          <w:p w:rsidR="004E45F7" w:rsidRPr="006E16C2" w:rsidRDefault="004E45F7" w:rsidP="00180F57">
            <w:r w:rsidRPr="006E16C2">
              <w:rPr>
                <w:b/>
              </w:rPr>
              <w:t>1. Strategie programu</w:t>
            </w:r>
            <w:r w:rsidRPr="006E16C2">
              <w:t xml:space="preserve">  - </w:t>
            </w:r>
            <w:r w:rsidR="00285923" w:rsidRPr="006E16C2">
              <w:t xml:space="preserve"> 1.1.1 a </w:t>
            </w:r>
            <w:r w:rsidRPr="006E16C2">
              <w:t xml:space="preserve">1.1.2. </w:t>
            </w:r>
            <w:r w:rsidR="00285923" w:rsidRPr="006E16C2">
              <w:t xml:space="preserve">Přetrvávající nerovnosti ve vzdělávání  a  </w:t>
            </w:r>
            <w:r w:rsidRPr="006E16C2">
              <w:t>Nutnost modernizace me</w:t>
            </w:r>
            <w:r w:rsidR="00285923" w:rsidRPr="006E16C2">
              <w:t>tod, forem a obsahu vzdělávání – str. 6 - 10</w:t>
            </w:r>
          </w:p>
          <w:p w:rsidR="004E45F7" w:rsidRPr="006E16C2" w:rsidRDefault="004E45F7" w:rsidP="00180F57">
            <w:r w:rsidRPr="006E16C2">
              <w:rPr>
                <w:b/>
              </w:rPr>
              <w:t>2. Priority</w:t>
            </w:r>
            <w:r w:rsidRPr="006E16C2">
              <w:t xml:space="preserve"> – </w:t>
            </w:r>
            <w:r w:rsidRPr="006E16C2">
              <w:rPr>
                <w:b/>
              </w:rPr>
              <w:t>2.2.  Priorita 2 - Vzdělávání</w:t>
            </w:r>
            <w:r w:rsidRPr="006E16C2">
              <w:t xml:space="preserve">  - str. 34 – 43</w:t>
            </w:r>
          </w:p>
          <w:p w:rsidR="004E45F7" w:rsidRPr="006E16C2" w:rsidRDefault="004E45F7" w:rsidP="00180F57">
            <w:r w:rsidRPr="006E16C2">
              <w:t>2.2.1. SC 2.1 Zlepšování rovného přístupu k inkluzivním a kvalitním službám v oblasti vzdělávání, odborné přípravy a celoživotního učení pomocí rozvoje přístupné infrastruktury, mimo jiné posilováním odolnosti pro distanční a online vzdělávání a odbornou přípravu,</w:t>
            </w:r>
          </w:p>
          <w:p w:rsidR="004E45F7" w:rsidRPr="006E16C2" w:rsidRDefault="004E45F7" w:rsidP="00180F57">
            <w:r w:rsidRPr="006E16C2">
              <w:lastRenderedPageBreak/>
              <w:t xml:space="preserve">2.2.2. SC 2.2 Zvýšit kvalitu, </w:t>
            </w:r>
            <w:proofErr w:type="spellStart"/>
            <w:r w:rsidRPr="006E16C2">
              <w:t>inkluzivitu</w:t>
            </w:r>
            <w:proofErr w:type="spellEnd"/>
            <w:r w:rsidRPr="006E16C2">
              <w:t xml:space="preserve"> a účinnost systémů vzdělávání a odborné přípravy a jejich relevantnosti pro trh práce, mimo jiné i uznáváním výsledků neformálního a informálního učení, s cílem podpořit získávání klíčových kompetencí včetně podnikatelských a digitálních dovedností, a prosazováním zavádění duálních systémů odborné přípravy a učňovské přípravy, </w:t>
            </w:r>
          </w:p>
          <w:p w:rsidR="004E45F7" w:rsidRDefault="004E45F7" w:rsidP="00180F57">
            <w:r w:rsidRPr="006E16C2">
              <w:t>2.2.3. SC 2.3 Prosazovat rovný přístup ke kvalitnímu a inkluzivnímu vzdělávání a odborné přípravě a jejich úspěšnému ukončení, a to zejména v případě znevýhodněných skupin, od předškolního vzdělávání a péče, přes všeobecné vzdělávání a odborné vzdělávání a přípravu až po terciární úroveň, jakož i vzdělávání a studium dospělých, včetně usnadnění vzdělávací mobility pro všechny a přístupnosti pro osoby se zdravotním postižením.</w:t>
            </w:r>
            <w:r w:rsidR="004976DD">
              <w:t xml:space="preserve"> </w:t>
            </w:r>
          </w:p>
          <w:p w:rsidR="00BE6095" w:rsidRDefault="00BE6095" w:rsidP="00180F57"/>
          <w:p w:rsidR="00755B2E" w:rsidRDefault="00BE6095" w:rsidP="00180F57">
            <w:pPr>
              <w:rPr>
                <w:rFonts w:cstheme="minorHAnsi"/>
                <w:b/>
                <w:bCs/>
              </w:rPr>
            </w:pPr>
            <w:r w:rsidRPr="00C85F86">
              <w:rPr>
                <w:rFonts w:cstheme="minorHAnsi"/>
              </w:rPr>
              <w:t xml:space="preserve">Podpora pedagogů </w:t>
            </w:r>
            <w:r w:rsidR="00873734">
              <w:rPr>
                <w:rFonts w:cstheme="minorHAnsi"/>
              </w:rPr>
              <w:t xml:space="preserve">a žáků </w:t>
            </w:r>
            <w:r w:rsidRPr="00C85F86">
              <w:rPr>
                <w:rFonts w:cstheme="minorHAnsi"/>
              </w:rPr>
              <w:t xml:space="preserve">prostřednictvím šablon - </w:t>
            </w:r>
            <w:r w:rsidRPr="00C85F86">
              <w:rPr>
                <w:rFonts w:cstheme="minorHAnsi"/>
                <w:b/>
                <w:bCs/>
              </w:rPr>
              <w:t>Šablony OP JAK se blíží!</w:t>
            </w:r>
            <w:r w:rsidR="00C948E7">
              <w:rPr>
                <w:rFonts w:cstheme="minorHAnsi"/>
                <w:b/>
                <w:bCs/>
              </w:rPr>
              <w:t xml:space="preserve"> (obsahuje také </w:t>
            </w:r>
            <w:r>
              <w:rPr>
                <w:rFonts w:cstheme="minorHAnsi"/>
                <w:b/>
                <w:bCs/>
              </w:rPr>
              <w:t xml:space="preserve"> informace o šablonách</w:t>
            </w:r>
            <w:r w:rsidR="00BB1CA4">
              <w:rPr>
                <w:rFonts w:cstheme="minorHAnsi"/>
                <w:b/>
                <w:bCs/>
              </w:rPr>
              <w:t xml:space="preserve"> OP VVV)</w:t>
            </w:r>
          </w:p>
          <w:p w:rsidR="00291CAE" w:rsidRDefault="006F5E6E" w:rsidP="00291CAE">
            <w:pPr>
              <w:rPr>
                <w:rStyle w:val="Hypertextovodkaz"/>
              </w:rPr>
            </w:pPr>
            <w:hyperlink r:id="rId18" w:history="1">
              <w:r w:rsidR="00291CAE">
                <w:rPr>
                  <w:rStyle w:val="Hypertextovodkaz"/>
                </w:rPr>
                <w:t>Šablony OP JAK se blíží! – OP JAK</w:t>
              </w:r>
            </w:hyperlink>
            <w:r w:rsidR="00291CAE">
              <w:rPr>
                <w:rStyle w:val="Hypertextovodkaz"/>
              </w:rPr>
              <w:t xml:space="preserve"> </w:t>
            </w:r>
          </w:p>
          <w:p w:rsidR="004976DD" w:rsidRDefault="004976DD" w:rsidP="00180F57">
            <w:pPr>
              <w:rPr>
                <w:b/>
              </w:rPr>
            </w:pPr>
          </w:p>
          <w:p w:rsidR="00291CAE" w:rsidRPr="004976DD" w:rsidRDefault="004976DD" w:rsidP="00180F57">
            <w:pPr>
              <w:rPr>
                <w:b/>
              </w:rPr>
            </w:pPr>
            <w:r w:rsidRPr="004976DD">
              <w:rPr>
                <w:b/>
              </w:rPr>
              <w:t>Šablony pro MŠ a ZŠ I</w:t>
            </w:r>
          </w:p>
          <w:p w:rsidR="004976DD" w:rsidRDefault="006F5E6E" w:rsidP="00180F57">
            <w:pPr>
              <w:rPr>
                <w:color w:val="FF0000"/>
              </w:rPr>
            </w:pPr>
            <w:hyperlink r:id="rId19" w:history="1">
              <w:r w:rsidR="004976DD">
                <w:rPr>
                  <w:rStyle w:val="Hypertextovodkaz"/>
                </w:rPr>
                <w:t>Výzva č. 02_22_002 Šablony pro MŠ a ZŠ I – OP JAK</w:t>
              </w:r>
            </w:hyperlink>
          </w:p>
          <w:p w:rsidR="004976DD" w:rsidRDefault="004976DD" w:rsidP="00180F57">
            <w:pPr>
              <w:rPr>
                <w:b/>
              </w:rPr>
            </w:pPr>
          </w:p>
          <w:p w:rsidR="00945DF0" w:rsidRPr="004976DD" w:rsidRDefault="004976DD" w:rsidP="00180F57">
            <w:pPr>
              <w:rPr>
                <w:b/>
              </w:rPr>
            </w:pPr>
            <w:r w:rsidRPr="004976DD">
              <w:rPr>
                <w:b/>
              </w:rPr>
              <w:t>Šablony pro SŠ, VOŠ I</w:t>
            </w:r>
          </w:p>
          <w:p w:rsidR="004976DD" w:rsidRDefault="006F5E6E" w:rsidP="00180F57">
            <w:hyperlink r:id="rId20" w:history="1">
              <w:r w:rsidR="006B7F90">
                <w:rPr>
                  <w:rStyle w:val="Hypertextovodkaz"/>
                </w:rPr>
                <w:t>Výzva č. 02_22_003 Šablony pro SŠ a VOŠ I – OP JAK</w:t>
              </w:r>
            </w:hyperlink>
          </w:p>
          <w:p w:rsidR="006B7F90" w:rsidRDefault="006B7F90" w:rsidP="00180F57"/>
        </w:tc>
      </w:tr>
      <w:tr w:rsidR="006A56B2" w:rsidTr="00180F57">
        <w:tc>
          <w:tcPr>
            <w:tcW w:w="4531" w:type="dxa"/>
          </w:tcPr>
          <w:p w:rsidR="00781C57" w:rsidRPr="00901D37" w:rsidRDefault="006A56B2" w:rsidP="00180F57">
            <w:r w:rsidRPr="00901D37">
              <w:lastRenderedPageBreak/>
              <w:t>Projekt P-KAP</w:t>
            </w:r>
            <w:r w:rsidR="00781C57" w:rsidRPr="00901D37">
              <w:t xml:space="preserve"> (Podpora krajského akčního plánování)</w:t>
            </w:r>
          </w:p>
          <w:p w:rsidR="00781C57" w:rsidRPr="00F06477" w:rsidRDefault="006F5E6E" w:rsidP="00180F57">
            <w:pPr>
              <w:rPr>
                <w:color w:val="FF0000"/>
              </w:rPr>
            </w:pPr>
            <w:hyperlink r:id="rId21" w:history="1">
              <w:r w:rsidR="00781C57">
                <w:rPr>
                  <w:rStyle w:val="Hypertextovodkaz"/>
                </w:rPr>
                <w:t>P-KAP, Národní pedagogický institut České republiky (dříve Národní ústav pro vzdělávání) (npi.cz)</w:t>
              </w:r>
            </w:hyperlink>
          </w:p>
        </w:tc>
        <w:tc>
          <w:tcPr>
            <w:tcW w:w="9781" w:type="dxa"/>
          </w:tcPr>
          <w:p w:rsidR="006A56B2" w:rsidRPr="006E16C2" w:rsidRDefault="00781C57" w:rsidP="00180F57">
            <w:pPr>
              <w:rPr>
                <w:b/>
              </w:rPr>
            </w:pPr>
            <w:r w:rsidRPr="006E16C2">
              <w:rPr>
                <w:b/>
              </w:rPr>
              <w:t>Podpora inkluze</w:t>
            </w:r>
          </w:p>
          <w:p w:rsidR="00781C57" w:rsidRDefault="006F5E6E" w:rsidP="00180F57">
            <w:pPr>
              <w:rPr>
                <w:b/>
                <w:color w:val="FF0000"/>
              </w:rPr>
            </w:pPr>
            <w:hyperlink r:id="rId22" w:history="1">
              <w:r w:rsidR="00781C57">
                <w:rPr>
                  <w:rStyle w:val="Hypertextovodkaz"/>
                </w:rPr>
                <w:t>Podpora inkluze, Národní pedagogický institut České republiky (dříve Národní ústav pro vzdělávání) (npi.cz)</w:t>
              </w:r>
            </w:hyperlink>
          </w:p>
        </w:tc>
      </w:tr>
      <w:tr w:rsidR="00755B2E" w:rsidTr="00180F57">
        <w:tc>
          <w:tcPr>
            <w:tcW w:w="4531" w:type="dxa"/>
          </w:tcPr>
          <w:p w:rsidR="00C91D08" w:rsidRPr="00C91D08" w:rsidRDefault="00C91D08" w:rsidP="00755B2E">
            <w:pPr>
              <w:rPr>
                <w:rStyle w:val="Siln"/>
                <w:rFonts w:cstheme="minorHAnsi"/>
                <w:b w:val="0"/>
                <w:color w:val="333333"/>
                <w:shd w:val="clear" w:color="auto" w:fill="FFFFFF"/>
              </w:rPr>
            </w:pPr>
            <w:r w:rsidRPr="00C91D08">
              <w:rPr>
                <w:rFonts w:cstheme="minorHAnsi"/>
              </w:rPr>
              <w:t>Projekt</w:t>
            </w:r>
            <w:r w:rsidRPr="00C91D08">
              <w:rPr>
                <w:rFonts w:cstheme="minorHAnsi"/>
                <w:b/>
              </w:rPr>
              <w:t xml:space="preserve"> </w:t>
            </w:r>
            <w:r w:rsidRPr="00C91D08">
              <w:rPr>
                <w:rStyle w:val="Siln"/>
                <w:rFonts w:cstheme="minorHAnsi"/>
                <w:b w:val="0"/>
                <w:color w:val="333333"/>
                <w:shd w:val="clear" w:color="auto" w:fill="FFFFFF"/>
              </w:rPr>
              <w:t>Podpora společného vzdělávání v pedagogické praxi (APIV</w:t>
            </w:r>
            <w:r w:rsidR="00860A8B">
              <w:rPr>
                <w:rStyle w:val="Siln"/>
                <w:rFonts w:cstheme="minorHAnsi"/>
                <w:b w:val="0"/>
                <w:color w:val="333333"/>
                <w:shd w:val="clear" w:color="auto" w:fill="FFFFFF"/>
              </w:rPr>
              <w:t xml:space="preserve"> B</w:t>
            </w:r>
            <w:r w:rsidRPr="00C91D08">
              <w:rPr>
                <w:rStyle w:val="Siln"/>
                <w:rFonts w:cstheme="minorHAnsi"/>
                <w:b w:val="0"/>
                <w:color w:val="333333"/>
                <w:shd w:val="clear" w:color="auto" w:fill="FFFFFF"/>
              </w:rPr>
              <w:t>)</w:t>
            </w:r>
          </w:p>
          <w:p w:rsidR="006E16C2" w:rsidRDefault="006F5E6E" w:rsidP="00755B2E">
            <w:hyperlink r:id="rId23" w:history="1">
              <w:r w:rsidR="00755B2E">
                <w:rPr>
                  <w:rStyle w:val="Hypertextovodkaz"/>
                </w:rPr>
                <w:t>APIV | NPI ČR - Podpora společného vzdělávání v pedagogické praxi (inkluzevpraxi.cz)</w:t>
              </w:r>
            </w:hyperlink>
          </w:p>
          <w:p w:rsidR="006E16C2" w:rsidRDefault="006E16C2" w:rsidP="00755B2E"/>
          <w:p w:rsidR="00755B2E" w:rsidRPr="006E16C2" w:rsidRDefault="006F5E6E" w:rsidP="00755B2E">
            <w:pPr>
              <w:rPr>
                <w:rStyle w:val="Hypertextovodkaz"/>
                <w:color w:val="auto"/>
                <w:u w:val="none"/>
              </w:rPr>
            </w:pPr>
            <w:hyperlink r:id="rId24" w:history="1">
              <w:r w:rsidR="00755B2E">
                <w:rPr>
                  <w:rStyle w:val="Hypertextovodkaz"/>
                </w:rPr>
                <w:t>O aplikaci | Zapojmevšechny.cz (zapojmevsechny.cz)</w:t>
              </w:r>
            </w:hyperlink>
          </w:p>
          <w:p w:rsidR="00755B2E" w:rsidRDefault="00755B2E" w:rsidP="00180F57">
            <w:pPr>
              <w:rPr>
                <w:color w:val="FF0000"/>
              </w:rPr>
            </w:pPr>
          </w:p>
        </w:tc>
        <w:tc>
          <w:tcPr>
            <w:tcW w:w="9781" w:type="dxa"/>
          </w:tcPr>
          <w:p w:rsidR="00755B2E" w:rsidRPr="006E16C2" w:rsidRDefault="00C91D08" w:rsidP="00180F57">
            <w:pPr>
              <w:rPr>
                <w:b/>
              </w:rPr>
            </w:pPr>
            <w:r w:rsidRPr="006E16C2">
              <w:rPr>
                <w:b/>
              </w:rPr>
              <w:lastRenderedPageBreak/>
              <w:t>Inkluze v každodenním životě školy</w:t>
            </w:r>
          </w:p>
          <w:p w:rsidR="00C91D08" w:rsidRPr="006E16C2" w:rsidRDefault="00C91D08" w:rsidP="00180F57">
            <w:r w:rsidRPr="006E16C2">
              <w:t>Informace, materiály, semináře</w:t>
            </w:r>
          </w:p>
          <w:p w:rsidR="00C91D08" w:rsidRDefault="00C91D08" w:rsidP="00180F57">
            <w:r w:rsidRPr="006E16C2">
              <w:t>Akční plán inkluzivního vzdělávání</w:t>
            </w:r>
          </w:p>
          <w:p w:rsidR="006E16C2" w:rsidRDefault="006E16C2" w:rsidP="00180F57"/>
          <w:p w:rsidR="006F061E" w:rsidRDefault="006F061E" w:rsidP="00180F57">
            <w:pPr>
              <w:rPr>
                <w:b/>
              </w:rPr>
            </w:pPr>
          </w:p>
          <w:p w:rsidR="006E16C2" w:rsidRDefault="006E16C2" w:rsidP="00180F57">
            <w:pPr>
              <w:rPr>
                <w:b/>
              </w:rPr>
            </w:pPr>
            <w:r w:rsidRPr="006E16C2">
              <w:rPr>
                <w:b/>
              </w:rPr>
              <w:lastRenderedPageBreak/>
              <w:t>Zapojme všechny</w:t>
            </w:r>
          </w:p>
          <w:p w:rsidR="006E16C2" w:rsidRPr="006E16C2" w:rsidRDefault="006E16C2" w:rsidP="006E16C2">
            <w:pPr>
              <w:pStyle w:val="Nadpis5"/>
              <w:shd w:val="clear" w:color="auto" w:fill="FFFFFF"/>
              <w:spacing w:before="0"/>
              <w:outlineLvl w:val="4"/>
              <w:rPr>
                <w:rFonts w:asciiTheme="minorHAnsi" w:hAnsiTheme="minorHAnsi" w:cstheme="minorHAnsi"/>
                <w:color w:val="auto"/>
              </w:rPr>
            </w:pPr>
            <w:r w:rsidRPr="006E16C2">
              <w:rPr>
                <w:color w:val="auto"/>
              </w:rPr>
              <w:t>(</w:t>
            </w:r>
            <w:r w:rsidRPr="006E16C2">
              <w:rPr>
                <w:rFonts w:asciiTheme="minorHAnsi" w:hAnsiTheme="minorHAnsi" w:cstheme="minorHAnsi"/>
                <w:color w:val="auto"/>
              </w:rPr>
              <w:t xml:space="preserve">lze </w:t>
            </w:r>
            <w:r w:rsidRPr="006E16C2">
              <w:rPr>
                <w:rFonts w:asciiTheme="minorHAnsi" w:hAnsiTheme="minorHAnsi" w:cstheme="minorHAnsi"/>
                <w:bCs/>
                <w:color w:val="auto"/>
              </w:rPr>
              <w:t xml:space="preserve">stáhnout jako </w:t>
            </w:r>
            <w:proofErr w:type="spellStart"/>
            <w:r w:rsidRPr="006E16C2">
              <w:rPr>
                <w:rFonts w:asciiTheme="minorHAnsi" w:hAnsiTheme="minorHAnsi" w:cstheme="minorHAnsi"/>
                <w:bCs/>
                <w:color w:val="auto"/>
              </w:rPr>
              <w:t>offline</w:t>
            </w:r>
            <w:proofErr w:type="spellEnd"/>
            <w:r w:rsidRPr="006E16C2">
              <w:rPr>
                <w:rFonts w:asciiTheme="minorHAnsi" w:hAnsiTheme="minorHAnsi" w:cstheme="minorHAnsi"/>
                <w:bCs/>
                <w:color w:val="auto"/>
              </w:rPr>
              <w:t xml:space="preserve"> knihu)</w:t>
            </w:r>
          </w:p>
          <w:p w:rsidR="006E16C2" w:rsidRPr="006E16C2" w:rsidRDefault="006E16C2" w:rsidP="00180F57">
            <w:pPr>
              <w:rPr>
                <w:b/>
                <w:color w:val="FF0000"/>
              </w:rPr>
            </w:pPr>
          </w:p>
        </w:tc>
      </w:tr>
      <w:tr w:rsidR="004E45F7" w:rsidTr="00180F57">
        <w:tc>
          <w:tcPr>
            <w:tcW w:w="4531" w:type="dxa"/>
          </w:tcPr>
          <w:p w:rsidR="004E45F7" w:rsidRPr="00B225D1" w:rsidRDefault="004E45F7" w:rsidP="00180F57">
            <w:r w:rsidRPr="00B225D1">
              <w:lastRenderedPageBreak/>
              <w:t>Projekt SRP (Strategické řízení a plánování ve školách a územích)</w:t>
            </w:r>
          </w:p>
          <w:p w:rsidR="004E45F7" w:rsidRPr="00F42B91" w:rsidRDefault="006F5E6E" w:rsidP="00180F57">
            <w:pPr>
              <w:pStyle w:val="Default"/>
              <w:spacing w:after="45"/>
              <w:rPr>
                <w:color w:val="0000FF"/>
                <w:sz w:val="22"/>
                <w:szCs w:val="22"/>
                <w:u w:val="single"/>
              </w:rPr>
            </w:pPr>
            <w:hyperlink r:id="rId25" w:history="1">
              <w:r w:rsidR="004E45F7" w:rsidRPr="00686C73">
                <w:rPr>
                  <w:rStyle w:val="Hypertextovodkaz"/>
                  <w:sz w:val="22"/>
                  <w:szCs w:val="22"/>
                </w:rPr>
                <w:t>Strategické řízení a plánování ve školách a územích - SRP (npi.cz)</w:t>
              </w:r>
            </w:hyperlink>
          </w:p>
        </w:tc>
        <w:tc>
          <w:tcPr>
            <w:tcW w:w="9781" w:type="dxa"/>
          </w:tcPr>
          <w:p w:rsidR="004E45F7" w:rsidRDefault="004E45F7" w:rsidP="00180F57">
            <w:r w:rsidRPr="00AA1A5A">
              <w:rPr>
                <w:b/>
              </w:rPr>
              <w:t>Inspirujte se, Vzdělávejte se</w:t>
            </w:r>
            <w:r w:rsidRPr="00AA1A5A">
              <w:t xml:space="preserve"> </w:t>
            </w:r>
            <w:r>
              <w:t xml:space="preserve">– řada materiálů ke stažení pro školy a </w:t>
            </w:r>
            <w:proofErr w:type="spellStart"/>
            <w:r>
              <w:t>MAPy</w:t>
            </w:r>
            <w:proofErr w:type="spellEnd"/>
            <w:r>
              <w:t xml:space="preserve"> – pro oblast strategického řízení a plánování ve školách a územích – pro rozvoj pracovníků ve vzdělávání.</w:t>
            </w:r>
          </w:p>
          <w:p w:rsidR="004E45F7" w:rsidRPr="001F65C6" w:rsidRDefault="004E45F7" w:rsidP="00180F57">
            <w:pPr>
              <w:rPr>
                <w:b/>
              </w:rPr>
            </w:pPr>
            <w:r w:rsidRPr="001F65C6">
              <w:rPr>
                <w:b/>
              </w:rPr>
              <w:t>Manuál profesního rozvoje pedagogických pracovníků</w:t>
            </w:r>
          </w:p>
          <w:p w:rsidR="004E45F7" w:rsidRDefault="006F5E6E" w:rsidP="00180F57">
            <w:pPr>
              <w:rPr>
                <w:rStyle w:val="Hypertextovodkaz"/>
              </w:rPr>
            </w:pPr>
            <w:hyperlink r:id="rId26" w:history="1">
              <w:r w:rsidR="004E45F7">
                <w:rPr>
                  <w:rStyle w:val="Hypertextovodkaz"/>
                </w:rPr>
                <w:t>262_manual_profesniho_rozvoje.pdf (npi.cz)</w:t>
              </w:r>
            </w:hyperlink>
          </w:p>
          <w:p w:rsidR="004E45F7" w:rsidRDefault="004E45F7" w:rsidP="00180F57">
            <w:pPr>
              <w:rPr>
                <w:b/>
              </w:rPr>
            </w:pPr>
            <w:r w:rsidRPr="001F65C6">
              <w:rPr>
                <w:b/>
              </w:rPr>
              <w:t>Manuál strategického řízení a plánování ve školách</w:t>
            </w:r>
          </w:p>
          <w:p w:rsidR="004E45F7" w:rsidRDefault="006F5E6E" w:rsidP="00180F57">
            <w:pPr>
              <w:rPr>
                <w:b/>
              </w:rPr>
            </w:pPr>
            <w:hyperlink r:id="rId27" w:history="1">
              <w:r w:rsidR="004E45F7">
                <w:rPr>
                  <w:rStyle w:val="Hypertextovodkaz"/>
                </w:rPr>
                <w:t>MANUAL-SRP_compressed.pdf (npi.cz)</w:t>
              </w:r>
            </w:hyperlink>
          </w:p>
          <w:p w:rsidR="004E45F7" w:rsidRDefault="004E45F7" w:rsidP="00180F57">
            <w:pPr>
              <w:rPr>
                <w:b/>
              </w:rPr>
            </w:pPr>
            <w:r>
              <w:rPr>
                <w:b/>
              </w:rPr>
              <w:t xml:space="preserve">Manuál </w:t>
            </w:r>
            <w:proofErr w:type="spellStart"/>
            <w:r>
              <w:rPr>
                <w:b/>
              </w:rPr>
              <w:t>benchlearningu</w:t>
            </w:r>
            <w:proofErr w:type="spellEnd"/>
          </w:p>
          <w:p w:rsidR="00643C21" w:rsidRDefault="006F5E6E" w:rsidP="00180F57">
            <w:pPr>
              <w:rPr>
                <w:rStyle w:val="Hypertextovodkaz"/>
              </w:rPr>
            </w:pPr>
            <w:hyperlink r:id="rId28" w:history="1">
              <w:r w:rsidR="004E45F7">
                <w:rPr>
                  <w:rStyle w:val="Hypertextovodkaz"/>
                </w:rPr>
                <w:t>MANUAL-BENCHLEARNINGU-PRO-SKOLY_compressed.pdf (npi.cz)</w:t>
              </w:r>
            </w:hyperlink>
          </w:p>
          <w:p w:rsidR="006E16C2" w:rsidRPr="00826A54" w:rsidRDefault="006E16C2" w:rsidP="00180F57"/>
        </w:tc>
      </w:tr>
      <w:tr w:rsidR="004E45F7" w:rsidTr="00180F57">
        <w:tc>
          <w:tcPr>
            <w:tcW w:w="4531" w:type="dxa"/>
          </w:tcPr>
          <w:p w:rsidR="004E45F7" w:rsidRPr="00B225D1" w:rsidRDefault="004E45F7" w:rsidP="00180F57">
            <w:r w:rsidRPr="00B225D1">
              <w:t>Projekt SYPO (Systém podpory profesního rozvoje učitelů a ředitelů)</w:t>
            </w:r>
          </w:p>
          <w:p w:rsidR="004E45F7" w:rsidRDefault="006F5E6E" w:rsidP="00180F57">
            <w:hyperlink r:id="rId29" w:history="1">
              <w:r w:rsidR="004E45F7">
                <w:rPr>
                  <w:rStyle w:val="Hypertextovodkaz"/>
                </w:rPr>
                <w:t>Úvod - Systém podpory profesního rozvoje učitelů a ředitelů (projektsypo.cz)</w:t>
              </w:r>
            </w:hyperlink>
          </w:p>
          <w:p w:rsidR="004E45F7" w:rsidRDefault="004E45F7" w:rsidP="00180F57"/>
        </w:tc>
        <w:tc>
          <w:tcPr>
            <w:tcW w:w="9781" w:type="dxa"/>
            <w:shd w:val="clear" w:color="auto" w:fill="FFFFFF" w:themeFill="background1"/>
          </w:tcPr>
          <w:p w:rsidR="004E45F7" w:rsidRPr="001F65C6" w:rsidRDefault="004E45F7" w:rsidP="00180F57">
            <w:r>
              <w:t>Inspirace</w:t>
            </w:r>
            <w:r w:rsidRPr="001F65C6">
              <w:t xml:space="preserve">, </w:t>
            </w:r>
            <w:r>
              <w:t xml:space="preserve">aktuální informace a zkušenosti, materiály, </w:t>
            </w:r>
            <w:proofErr w:type="spellStart"/>
            <w:r>
              <w:t>webináře</w:t>
            </w:r>
            <w:proofErr w:type="spellEnd"/>
            <w:r>
              <w:t>.</w:t>
            </w:r>
            <w:r w:rsidRPr="001F65C6">
              <w:br/>
              <w:t>P</w:t>
            </w:r>
            <w:r>
              <w:t>rojekt pomáhá učitelům učit, přispívá k profesnímu rozvoji učitelů a ředitelů, propojuje</w:t>
            </w:r>
            <w:r w:rsidRPr="001F65C6">
              <w:t xml:space="preserve"> školy.</w:t>
            </w:r>
          </w:p>
          <w:p w:rsidR="004E45F7" w:rsidRPr="00C040CC" w:rsidRDefault="006F5E6E" w:rsidP="00180F57">
            <w:pPr>
              <w:rPr>
                <w:b/>
              </w:rPr>
            </w:pPr>
            <w:hyperlink r:id="rId30" w:history="1">
              <w:r w:rsidR="004E45F7" w:rsidRPr="00C040CC">
                <w:rPr>
                  <w:rStyle w:val="Hypertextovodkaz"/>
                  <w:b/>
                  <w:color w:val="auto"/>
                  <w:u w:val="none"/>
                </w:rPr>
                <w:t>Modely systému profesní podpory a metodické příručky</w:t>
              </w:r>
            </w:hyperlink>
          </w:p>
          <w:p w:rsidR="004E45F7" w:rsidRDefault="006F5E6E" w:rsidP="00180F57">
            <w:hyperlink r:id="rId31" w:history="1">
              <w:r w:rsidR="004E45F7">
                <w:rPr>
                  <w:rStyle w:val="Hypertextovodkaz"/>
                </w:rPr>
                <w:t>Modely systému podpory pro jednotlivé kabinety - Systém podpory profesního rozvoje učitelů a ředitelů (projektsypo.cz)</w:t>
              </w:r>
            </w:hyperlink>
          </w:p>
          <w:p w:rsidR="004E45F7" w:rsidRPr="000D40BC" w:rsidRDefault="004E45F7" w:rsidP="00180F57">
            <w:pPr>
              <w:rPr>
                <w:b/>
              </w:rPr>
            </w:pPr>
            <w:proofErr w:type="spellStart"/>
            <w:r w:rsidRPr="000D40BC">
              <w:rPr>
                <w:b/>
              </w:rPr>
              <w:t>Webináře</w:t>
            </w:r>
            <w:proofErr w:type="spellEnd"/>
          </w:p>
          <w:p w:rsidR="004E45F7" w:rsidRDefault="006F5E6E" w:rsidP="00180F57">
            <w:hyperlink r:id="rId32" w:history="1">
              <w:proofErr w:type="spellStart"/>
              <w:r w:rsidR="004E45F7">
                <w:rPr>
                  <w:rStyle w:val="Hypertextovodkaz"/>
                </w:rPr>
                <w:t>Webináře</w:t>
              </w:r>
              <w:proofErr w:type="spellEnd"/>
              <w:r w:rsidR="004E45F7">
                <w:rPr>
                  <w:rStyle w:val="Hypertextovodkaz"/>
                </w:rPr>
                <w:t xml:space="preserve"> - Systém podpory profesního rozvoje učitelů a ředitelů (projektsypo.cz)</w:t>
              </w:r>
            </w:hyperlink>
          </w:p>
          <w:p w:rsidR="006A56B2" w:rsidRPr="00C040CC" w:rsidRDefault="006A56B2" w:rsidP="00180F57"/>
        </w:tc>
      </w:tr>
      <w:tr w:rsidR="004E45F7" w:rsidTr="00180F57">
        <w:tc>
          <w:tcPr>
            <w:tcW w:w="4531" w:type="dxa"/>
          </w:tcPr>
          <w:p w:rsidR="004E45F7" w:rsidRDefault="004E45F7" w:rsidP="00180F57">
            <w:r>
              <w:t>Česká školní inspekce</w:t>
            </w:r>
          </w:p>
          <w:p w:rsidR="004E45F7" w:rsidRPr="00216B80" w:rsidRDefault="006F5E6E" w:rsidP="00180F57">
            <w:pPr>
              <w:rPr>
                <w:color w:val="0000FF"/>
                <w:u w:val="single"/>
              </w:rPr>
            </w:pPr>
            <w:hyperlink r:id="rId33" w:history="1">
              <w:r w:rsidR="004E45F7" w:rsidRPr="000301C1">
                <w:rPr>
                  <w:rStyle w:val="Hypertextovodkaz"/>
                </w:rPr>
                <w:t>Česká školní inspekce - Aktuality (csicr.cz)</w:t>
              </w:r>
            </w:hyperlink>
          </w:p>
        </w:tc>
        <w:tc>
          <w:tcPr>
            <w:tcW w:w="9781" w:type="dxa"/>
          </w:tcPr>
          <w:p w:rsidR="00602C0A" w:rsidRPr="008B2254" w:rsidRDefault="00602C0A" w:rsidP="00602C0A">
            <w:pPr>
              <w:rPr>
                <w:b/>
              </w:rPr>
            </w:pPr>
            <w:r w:rsidRPr="008B2254">
              <w:rPr>
                <w:rFonts w:cstheme="minorHAnsi"/>
                <w:b/>
              </w:rPr>
              <w:t>České školství v mapách: Prostorová analýza podmínek, průběhu a výsledků vzdělávání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b/>
              </w:rPr>
              <w:t>(květen 2022)</w:t>
            </w:r>
          </w:p>
          <w:p w:rsidR="00602C0A" w:rsidRDefault="006F5E6E" w:rsidP="00602C0A">
            <w:pPr>
              <w:rPr>
                <w:b/>
              </w:rPr>
            </w:pPr>
            <w:hyperlink r:id="rId34" w:history="1">
              <w:r w:rsidR="00602C0A">
                <w:rPr>
                  <w:rStyle w:val="Hypertextovodkaz"/>
                </w:rPr>
                <w:t>Česká školní inspekce - České školství v mapách: Prostorová analýza podmínek, průběhu a výsledků vzdělávání (csicr.cz)</w:t>
              </w:r>
            </w:hyperlink>
          </w:p>
          <w:p w:rsidR="00BE6095" w:rsidRDefault="00BE6095" w:rsidP="00180F57">
            <w:pPr>
              <w:rPr>
                <w:b/>
              </w:rPr>
            </w:pPr>
          </w:p>
          <w:p w:rsidR="004E45F7" w:rsidRPr="00270CD9" w:rsidRDefault="004E45F7" w:rsidP="00180F57">
            <w:pPr>
              <w:rPr>
                <w:b/>
              </w:rPr>
            </w:pPr>
            <w:r w:rsidRPr="00270CD9">
              <w:rPr>
                <w:b/>
              </w:rPr>
              <w:t>Kvalita a efektivita vzdělávání a vzdělávací soustavy ve školním roce 2020/2021</w:t>
            </w:r>
          </w:p>
          <w:p w:rsidR="004E45F7" w:rsidRDefault="004E45F7" w:rsidP="00180F57">
            <w:pPr>
              <w:rPr>
                <w:b/>
              </w:rPr>
            </w:pPr>
            <w:r w:rsidRPr="00287E09">
              <w:t xml:space="preserve">Výroční zpráva České školní inspekce </w:t>
            </w:r>
            <w:r w:rsidRPr="00287E09">
              <w:rPr>
                <w:b/>
              </w:rPr>
              <w:t>(včetně příloh</w:t>
            </w:r>
            <w:r>
              <w:rPr>
                <w:b/>
              </w:rPr>
              <w:t xml:space="preserve"> – tematických zpráv</w:t>
            </w:r>
            <w:r w:rsidRPr="00287E09">
              <w:rPr>
                <w:b/>
              </w:rPr>
              <w:t>)</w:t>
            </w:r>
          </w:p>
          <w:p w:rsidR="004E45F7" w:rsidRDefault="006F5E6E" w:rsidP="00180F57">
            <w:hyperlink r:id="rId35" w:history="1">
              <w:r w:rsidR="004E45F7" w:rsidRPr="00595B2F">
                <w:rPr>
                  <w:rStyle w:val="Hypertextovodkaz"/>
                </w:rPr>
                <w:t>https://www.csicr.cz/cz/Aktuality/Kvalita-a-efektivita-vzdelavani-a-vzdelavaci-s-(4)</w:t>
              </w:r>
            </w:hyperlink>
          </w:p>
          <w:p w:rsidR="004E45F7" w:rsidRPr="00287E09" w:rsidRDefault="004E45F7" w:rsidP="00180F57"/>
          <w:p w:rsidR="004E45F7" w:rsidRPr="006E16C2" w:rsidRDefault="004E45F7" w:rsidP="00180F57">
            <w:pPr>
              <w:rPr>
                <w:b/>
              </w:rPr>
            </w:pPr>
            <w:r w:rsidRPr="006E16C2">
              <w:rPr>
                <w:b/>
              </w:rPr>
              <w:t>2 Předškolní vzdělávání</w:t>
            </w:r>
          </w:p>
          <w:p w:rsidR="004E45F7" w:rsidRPr="006E16C2" w:rsidRDefault="004E45F7" w:rsidP="00180F57">
            <w:r w:rsidRPr="006E16C2">
              <w:t>2.1.4 Personální podmínky v předškolním vzdělávání – str. 24</w:t>
            </w:r>
          </w:p>
          <w:p w:rsidR="004E45F7" w:rsidRPr="006E16C2" w:rsidRDefault="004E45F7" w:rsidP="00180F57">
            <w:r w:rsidRPr="006E16C2">
              <w:lastRenderedPageBreak/>
              <w:t>2.1.4.1 Ředitelé mateřských škol – str. 24 - 26</w:t>
            </w:r>
          </w:p>
          <w:p w:rsidR="004E45F7" w:rsidRPr="006E16C2" w:rsidRDefault="004E45F7" w:rsidP="00180F57">
            <w:r w:rsidRPr="006E16C2">
              <w:t>2.1.4.2 Učitelé mateřských škol – str.  26 - 33</w:t>
            </w:r>
          </w:p>
          <w:p w:rsidR="004E45F7" w:rsidRPr="006E16C2" w:rsidRDefault="004E45F7" w:rsidP="00180F57">
            <w:r w:rsidRPr="006E16C2">
              <w:rPr>
                <w:b/>
              </w:rPr>
              <w:t>2.4 Závěry a doporučení pro předškolní vzdělávání</w:t>
            </w:r>
            <w:r w:rsidRPr="006E16C2">
              <w:t xml:space="preserve"> – str. 50 - 55</w:t>
            </w:r>
          </w:p>
          <w:p w:rsidR="004E45F7" w:rsidRPr="006E16C2" w:rsidRDefault="004E45F7" w:rsidP="00180F57">
            <w:r w:rsidRPr="006E16C2">
              <w:rPr>
                <w:b/>
              </w:rPr>
              <w:t>Doporučení pro školy</w:t>
            </w:r>
            <w:r w:rsidRPr="006E16C2">
              <w:t xml:space="preserve">  – str. 52 – 53</w:t>
            </w:r>
          </w:p>
          <w:p w:rsidR="004E45F7" w:rsidRPr="006E16C2" w:rsidRDefault="004E45F7" w:rsidP="00180F57">
            <w:pPr>
              <w:rPr>
                <w:b/>
              </w:rPr>
            </w:pPr>
          </w:p>
          <w:p w:rsidR="004E45F7" w:rsidRPr="006E16C2" w:rsidRDefault="004E45F7" w:rsidP="00180F57">
            <w:pPr>
              <w:rPr>
                <w:b/>
              </w:rPr>
            </w:pPr>
            <w:r w:rsidRPr="006E16C2">
              <w:rPr>
                <w:b/>
              </w:rPr>
              <w:t>3 Základní vzdělávání</w:t>
            </w:r>
          </w:p>
          <w:p w:rsidR="004E45F7" w:rsidRPr="006E16C2" w:rsidRDefault="004E45F7" w:rsidP="00180F57">
            <w:r w:rsidRPr="006E16C2">
              <w:t>3.2.2 Personální zajištění distančního vzdělávání – úroveň digitálních kompetencí  -– str. 67</w:t>
            </w:r>
          </w:p>
          <w:p w:rsidR="004E45F7" w:rsidRPr="006E16C2" w:rsidRDefault="004E45F7" w:rsidP="00180F57">
            <w:r w:rsidRPr="006E16C2">
              <w:t>3.2.3 Řízení a organizace distančního vzdělávání  – str. 68 - 69</w:t>
            </w:r>
          </w:p>
          <w:p w:rsidR="004E45F7" w:rsidRPr="006E16C2" w:rsidRDefault="004E45F7" w:rsidP="00180F57">
            <w:r w:rsidRPr="006E16C2">
              <w:t>3.2.4 Pedagogické řízení a spolupráce v oblasti distančního vzdělávání  – str. 69 – 72</w:t>
            </w:r>
          </w:p>
          <w:p w:rsidR="004E45F7" w:rsidRPr="006E16C2" w:rsidRDefault="004E45F7" w:rsidP="00180F57">
            <w:r w:rsidRPr="006E16C2">
              <w:rPr>
                <w:b/>
              </w:rPr>
              <w:t>3.5 Závěry a doporučení pro základní vzdělávání</w:t>
            </w:r>
            <w:r w:rsidRPr="006E16C2">
              <w:t xml:space="preserve"> – str. 85 - 91</w:t>
            </w:r>
          </w:p>
          <w:p w:rsidR="004E45F7" w:rsidRPr="006E16C2" w:rsidRDefault="004E45F7" w:rsidP="00180F57">
            <w:r w:rsidRPr="006E16C2">
              <w:rPr>
                <w:b/>
              </w:rPr>
              <w:t>Doporučení pro školy</w:t>
            </w:r>
            <w:r w:rsidRPr="006E16C2">
              <w:t xml:space="preserve"> – str. 87 – 90</w:t>
            </w:r>
          </w:p>
          <w:p w:rsidR="004E45F7" w:rsidRPr="006E16C2" w:rsidRDefault="004E45F7" w:rsidP="00180F57">
            <w:pPr>
              <w:rPr>
                <w:b/>
              </w:rPr>
            </w:pPr>
          </w:p>
          <w:p w:rsidR="004E45F7" w:rsidRPr="006E16C2" w:rsidRDefault="004E45F7" w:rsidP="00180F57">
            <w:pPr>
              <w:rPr>
                <w:b/>
              </w:rPr>
            </w:pPr>
            <w:r w:rsidRPr="006E16C2">
              <w:rPr>
                <w:b/>
              </w:rPr>
              <w:t>4 Střední vzdělávání</w:t>
            </w:r>
          </w:p>
          <w:p w:rsidR="004E45F7" w:rsidRPr="006E16C2" w:rsidRDefault="004E45F7" w:rsidP="00180F57">
            <w:r w:rsidRPr="006E16C2">
              <w:t>4.2.2 Personální zajištění distančního vzdělávání – úroveň digitálních kompetencí – str. 101 - 102</w:t>
            </w:r>
          </w:p>
          <w:p w:rsidR="004E45F7" w:rsidRPr="006E16C2" w:rsidRDefault="004E45F7" w:rsidP="00180F57">
            <w:r w:rsidRPr="006E16C2">
              <w:t>4.2.3 Řízení a organizace distančního vzdělávání – str. 102 – 104</w:t>
            </w:r>
          </w:p>
          <w:p w:rsidR="004E45F7" w:rsidRPr="006E16C2" w:rsidRDefault="004E45F7" w:rsidP="00180F57">
            <w:r w:rsidRPr="006E16C2">
              <w:t xml:space="preserve">4.2.4 Pedagogické řízení a spolupráce v oblasti distančního vzdělávání – str. 104 - 105 </w:t>
            </w:r>
          </w:p>
          <w:p w:rsidR="004E45F7" w:rsidRPr="006E16C2" w:rsidRDefault="004E45F7" w:rsidP="00180F57">
            <w:r w:rsidRPr="006E16C2">
              <w:rPr>
                <w:b/>
              </w:rPr>
              <w:t>4.4 Závěry a doporučení pro střední vzdělávání</w:t>
            </w:r>
            <w:r w:rsidRPr="006E16C2">
              <w:t xml:space="preserve"> – str. 116 – 121</w:t>
            </w:r>
          </w:p>
          <w:p w:rsidR="004E45F7" w:rsidRPr="006E16C2" w:rsidRDefault="004E45F7" w:rsidP="00180F57">
            <w:r w:rsidRPr="006E16C2">
              <w:rPr>
                <w:b/>
              </w:rPr>
              <w:t>Doporučení pro školy</w:t>
            </w:r>
            <w:r w:rsidRPr="006E16C2">
              <w:t xml:space="preserve"> – str. 118 – 119</w:t>
            </w:r>
          </w:p>
          <w:p w:rsidR="004E45F7" w:rsidRPr="006E16C2" w:rsidRDefault="004E45F7" w:rsidP="00180F57"/>
          <w:p w:rsidR="004E45F7" w:rsidRPr="006E16C2" w:rsidRDefault="004E45F7" w:rsidP="00180F57">
            <w:pPr>
              <w:rPr>
                <w:rFonts w:eastAsia="TimesNewRomanPS-BoldMT" w:cs="TimesNewRomanPS-BoldMT"/>
                <w:b/>
                <w:bCs/>
              </w:rPr>
            </w:pPr>
            <w:r w:rsidRPr="006E16C2">
              <w:rPr>
                <w:rFonts w:eastAsia="TimesNewRomanPS-BoldMT" w:cs="TimesNewRomanPS-BoldMT"/>
                <w:b/>
                <w:bCs/>
              </w:rPr>
              <w:t>5 Základní umělecké vzdělávání  - str. 124</w:t>
            </w:r>
          </w:p>
          <w:p w:rsidR="004E45F7" w:rsidRPr="006E16C2" w:rsidRDefault="004E45F7" w:rsidP="00180F57">
            <w:pPr>
              <w:rPr>
                <w:rFonts w:eastAsia="TimesNewRomanPS-BoldMT" w:cs="TimesNewRomanPS-BoldMT"/>
                <w:b/>
                <w:bCs/>
              </w:rPr>
            </w:pPr>
            <w:r w:rsidRPr="006E16C2">
              <w:rPr>
                <w:rFonts w:eastAsia="TimesNewRomanPS-BoldMT" w:cs="TimesNewRomanPS-BoldMT"/>
                <w:b/>
                <w:bCs/>
              </w:rPr>
              <w:t>6 Zařízení pro výkon ústavní nebo ochranné výchovy – str. 132</w:t>
            </w:r>
          </w:p>
          <w:p w:rsidR="004E45F7" w:rsidRDefault="004E45F7" w:rsidP="00180F57">
            <w:pPr>
              <w:rPr>
                <w:rFonts w:ascii="TimesNewRomanPSMT" w:eastAsia="TimesNewRomanPSMT" w:cs="TimesNewRomanPSMT"/>
                <w:sz w:val="28"/>
                <w:szCs w:val="28"/>
                <w:vertAlign w:val="superscript"/>
              </w:rPr>
            </w:pPr>
            <w:r w:rsidRPr="006E16C2">
              <w:rPr>
                <w:rFonts w:eastAsia="TimesNewRomanPS-BoldMT" w:cs="TimesNewRomanPS-BoldMT"/>
                <w:b/>
                <w:bCs/>
              </w:rPr>
              <w:t>7 Školská poradenská zařízení – str. 146</w:t>
            </w:r>
            <w:r w:rsidRPr="006E16C2">
              <w:rPr>
                <w:rFonts w:ascii="TimesNewRomanPSMT" w:eastAsia="TimesNewRomanPSMT" w:cs="TimesNewRomanPSMT"/>
                <w:sz w:val="28"/>
                <w:szCs w:val="28"/>
                <w:vertAlign w:val="superscript"/>
              </w:rPr>
              <w:t xml:space="preserve"> </w:t>
            </w:r>
          </w:p>
          <w:p w:rsidR="00185983" w:rsidRPr="003E4FB1" w:rsidRDefault="00185983" w:rsidP="00185983">
            <w:pPr>
              <w:pStyle w:val="Nadpis1"/>
              <w:shd w:val="clear" w:color="auto" w:fill="FFFFFF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E4FB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Tematická zpráva – Průběžná zpráva o vyrovnávání nerovností ve vzdělávání ve školním roce 2021/2022</w:t>
            </w:r>
          </w:p>
          <w:p w:rsidR="00185983" w:rsidRDefault="006F5E6E" w:rsidP="00180F57">
            <w:hyperlink r:id="rId36" w:history="1">
              <w:r w:rsidR="00F22294">
                <w:rPr>
                  <w:rStyle w:val="Hypertextovodkaz"/>
                </w:rPr>
                <w:t>Česká školní inspekce - Tematická zpráva – Průběžná zpráva o vyrovnávání nerovností ve vzdělávání ve školním roce 2021/2022 (csicr.cz)</w:t>
              </w:r>
            </w:hyperlink>
          </w:p>
          <w:p w:rsidR="00730228" w:rsidRPr="003E4FB1" w:rsidRDefault="00730228" w:rsidP="00730228">
            <w:pPr>
              <w:pStyle w:val="Nadpis1"/>
              <w:shd w:val="clear" w:color="auto" w:fill="FFFFFF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E4FB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Tematická zpráva – Využívání diagnostických nástrojů a doporučovaná podpůrná opatření v ŠPZ</w:t>
            </w:r>
          </w:p>
          <w:p w:rsidR="00E2197F" w:rsidRDefault="006F5E6E" w:rsidP="00E2197F">
            <w:pPr>
              <w:rPr>
                <w:rStyle w:val="Hypertextovodkaz"/>
              </w:rPr>
            </w:pPr>
            <w:hyperlink r:id="rId37" w:history="1">
              <w:r w:rsidR="00730228">
                <w:rPr>
                  <w:rStyle w:val="Hypertextovodkaz"/>
                </w:rPr>
                <w:t>Česká školní inspekce - Tematická zpráva – Využívání diagnostických nástrojů a doporučovaná podpůrná opatření v ŠPZ (csicr.cz)</w:t>
              </w:r>
            </w:hyperlink>
          </w:p>
          <w:p w:rsidR="00E2197F" w:rsidRDefault="00E2197F" w:rsidP="00E2197F">
            <w:pPr>
              <w:rPr>
                <w:rStyle w:val="Hypertextovodkaz"/>
              </w:rPr>
            </w:pPr>
          </w:p>
          <w:p w:rsidR="003E4FB1" w:rsidRPr="00E2197F" w:rsidRDefault="00E2197F" w:rsidP="00E2197F">
            <w:r>
              <w:rPr>
                <w:rFonts w:cstheme="minorHAnsi"/>
                <w:b/>
              </w:rPr>
              <w:t>T</w:t>
            </w:r>
            <w:r w:rsidR="003E4FB1" w:rsidRPr="003E4FB1">
              <w:rPr>
                <w:rFonts w:cstheme="minorHAnsi"/>
                <w:b/>
              </w:rPr>
              <w:t>ematická zpráva – Společné znaky vzdělávání v úspěšných základních školách</w:t>
            </w:r>
          </w:p>
          <w:p w:rsidR="003E4FB1" w:rsidRDefault="006F5E6E" w:rsidP="00180F57">
            <w:pPr>
              <w:rPr>
                <w:b/>
              </w:rPr>
            </w:pPr>
            <w:hyperlink r:id="rId38" w:history="1">
              <w:r w:rsidR="003E4FB1">
                <w:rPr>
                  <w:rStyle w:val="Hypertextovodkaz"/>
                </w:rPr>
                <w:t>Česká školní inspekce - Tematická zpráva – Společné znaky vzdělávání v úspěšných základních školách (csicr.cz)</w:t>
              </w:r>
            </w:hyperlink>
          </w:p>
          <w:p w:rsidR="003E4FB1" w:rsidRDefault="003E4FB1" w:rsidP="00180F57">
            <w:pPr>
              <w:rPr>
                <w:b/>
              </w:rPr>
            </w:pPr>
          </w:p>
          <w:p w:rsidR="004E45F7" w:rsidRDefault="004E45F7" w:rsidP="00180F57">
            <w:r w:rsidRPr="00251A3B">
              <w:rPr>
                <w:b/>
              </w:rPr>
              <w:t>Kvalitní škola</w:t>
            </w:r>
            <w:r w:rsidRPr="00251A3B">
              <w:t xml:space="preserve"> – nástroj ČŠI k hodnocení škol</w:t>
            </w:r>
          </w:p>
          <w:p w:rsidR="004E45F7" w:rsidRDefault="006F5E6E" w:rsidP="00180F57">
            <w:pPr>
              <w:rPr>
                <w:rStyle w:val="Hypertextovodkaz"/>
              </w:rPr>
            </w:pPr>
            <w:hyperlink r:id="rId39" w:history="1">
              <w:r w:rsidR="004E45F7">
                <w:rPr>
                  <w:rStyle w:val="Hypertextovodkaz"/>
                </w:rPr>
                <w:t>Kvalitni-skola-kriteria-a-indikatory-hodnoceni-konecna-verze-s-poznamkou-pod-carou.pdf (csicr.cz)</w:t>
              </w:r>
            </w:hyperlink>
          </w:p>
          <w:p w:rsidR="004E45F7" w:rsidRPr="006E16C2" w:rsidRDefault="00FF3BFF" w:rsidP="00180F57">
            <w:pPr>
              <w:rPr>
                <w:rStyle w:val="Hypertextovodkaz"/>
                <w:b/>
                <w:color w:val="auto"/>
                <w:u w:val="none"/>
              </w:rPr>
            </w:pPr>
            <w:r w:rsidRPr="006E16C2">
              <w:rPr>
                <w:rStyle w:val="Hypertextovodkaz"/>
                <w:b/>
                <w:color w:val="auto"/>
                <w:u w:val="none"/>
              </w:rPr>
              <w:t>2.</w:t>
            </w:r>
            <w:r w:rsidR="00E90824" w:rsidRPr="006E16C2">
              <w:rPr>
                <w:rStyle w:val="Hypertextovodkaz"/>
                <w:b/>
                <w:color w:val="auto"/>
                <w:u w:val="none"/>
              </w:rPr>
              <w:t xml:space="preserve"> </w:t>
            </w:r>
            <w:r w:rsidR="004E45F7" w:rsidRPr="006E16C2">
              <w:rPr>
                <w:rStyle w:val="Hypertextovodkaz"/>
                <w:b/>
                <w:color w:val="auto"/>
                <w:u w:val="none"/>
              </w:rPr>
              <w:t>Pedagogické vedení</w:t>
            </w:r>
          </w:p>
          <w:p w:rsidR="004E45F7" w:rsidRPr="006E16C2" w:rsidRDefault="004E45F7" w:rsidP="00180F57">
            <w:r w:rsidRPr="006E16C2">
              <w:t xml:space="preserve">2.3 Vedení školy usiluje o zajištění optimálních personálních podmínek pro vzdělávání, cíleně pečuje o naplnění relevantních potřeb každého pedagoga a jeho profesní rozvoj, vytváří podmínky pro výměnu pedagogických zkušeností s dalšími školami a účinně podporuje začínající pedagogy. </w:t>
            </w:r>
          </w:p>
          <w:p w:rsidR="004E45F7" w:rsidRPr="006E16C2" w:rsidRDefault="004E45F7" w:rsidP="00180F57">
            <w:pPr>
              <w:rPr>
                <w:rStyle w:val="Hypertextovodkaz"/>
                <w:color w:val="auto"/>
              </w:rPr>
            </w:pPr>
            <w:r w:rsidRPr="006E16C2">
              <w:t>Vedení školy provádí systematické hodnocení práce učitelů a poskytuje jim pravidelně zpětnou vazbu k jejich práci. Na základě hodnocení plánuje spolu s učiteli jejich další profesní rozvoj. Vedení školy motivuje pedagogy k sebehodnocení a ke kolegiálnímu hodnocení. Podporuje jejich pedagogický rozvoj vhodnými efektivními formami. Škola cíleně podporuje rozvoj pedagogických schopností začínajících učitelů, pro něž má zpracován adaptační program.</w:t>
            </w:r>
          </w:p>
          <w:p w:rsidR="004E45F7" w:rsidRPr="006E16C2" w:rsidRDefault="00FF3BFF" w:rsidP="00180F57">
            <w:pPr>
              <w:rPr>
                <w:b/>
              </w:rPr>
            </w:pPr>
            <w:r w:rsidRPr="006E16C2">
              <w:rPr>
                <w:b/>
              </w:rPr>
              <w:t>6. Podpora školy žákům (rovné příležitosti)</w:t>
            </w:r>
          </w:p>
          <w:p w:rsidR="00FF3BFF" w:rsidRPr="006E16C2" w:rsidRDefault="00FF3BFF" w:rsidP="00180F57">
            <w:r w:rsidRPr="006E16C2">
              <w:rPr>
                <w:b/>
              </w:rPr>
              <w:t xml:space="preserve">6.1 </w:t>
            </w:r>
            <w:r w:rsidRPr="006E16C2">
              <w:t>Škola vytváří každému žákovi a jeho rodině rovné příležitosti ke vzdělávání bez ohledu na jeho pohlaví, věk, etnickou příslušnost, kulturu, rodný jazyk, náboženství, rodinné zázemí, ekonomický status nebo speciální vzdělávací potřeby</w:t>
            </w:r>
          </w:p>
          <w:p w:rsidR="00FF3BFF" w:rsidRPr="006E16C2" w:rsidRDefault="00FF3BFF" w:rsidP="00180F57">
            <w:r w:rsidRPr="006E16C2">
              <w:rPr>
                <w:b/>
              </w:rPr>
              <w:t>6.2</w:t>
            </w:r>
            <w:r w:rsidRPr="006E16C2">
              <w:t xml:space="preserve"> Škola poskytuje účinnou podporu všem žákům s potřebou podpůrných opatření</w:t>
            </w:r>
          </w:p>
          <w:p w:rsidR="00755B2E" w:rsidRDefault="00FF3BFF" w:rsidP="00180F57">
            <w:r w:rsidRPr="006E16C2">
              <w:rPr>
                <w:b/>
              </w:rPr>
              <w:t>6.3</w:t>
            </w:r>
            <w:r w:rsidRPr="006E16C2">
              <w:t xml:space="preserve"> Škola věnuje patřičnou pozornost rozvoji všech osobnostních vlastností žáků a dbá na to, aby žádný žák nebyl vyčleňován z</w:t>
            </w:r>
            <w:r w:rsidR="00EA0E2D">
              <w:t> </w:t>
            </w:r>
            <w:r w:rsidRPr="006E16C2">
              <w:t>kolektivu</w:t>
            </w:r>
          </w:p>
          <w:p w:rsidR="00EA0E2D" w:rsidRPr="00941578" w:rsidRDefault="00EA0E2D" w:rsidP="00180F57"/>
        </w:tc>
      </w:tr>
      <w:tr w:rsidR="008F2752" w:rsidTr="00180F57">
        <w:tc>
          <w:tcPr>
            <w:tcW w:w="4531" w:type="dxa"/>
          </w:tcPr>
          <w:p w:rsidR="008F2752" w:rsidRDefault="006F5E6E" w:rsidP="00180F57">
            <w:pPr>
              <w:rPr>
                <w:rFonts w:ascii="Arial" w:hAnsi="Arial" w:cs="Arial"/>
                <w:color w:val="FFFFFF"/>
                <w:sz w:val="21"/>
                <w:szCs w:val="21"/>
              </w:rPr>
            </w:pPr>
            <w:hyperlink r:id="rId40" w:history="1">
              <w:r w:rsidR="008F2752">
                <w:rPr>
                  <w:rStyle w:val="Hypertextovodkaz"/>
                </w:rPr>
                <w:t xml:space="preserve">PAQ </w:t>
              </w:r>
              <w:proofErr w:type="spellStart"/>
              <w:r w:rsidR="008F2752">
                <w:rPr>
                  <w:rStyle w:val="Hypertextovodkaz"/>
                </w:rPr>
                <w:t>Research</w:t>
              </w:r>
              <w:proofErr w:type="spellEnd"/>
              <w:r w:rsidR="008F2752">
                <w:rPr>
                  <w:rStyle w:val="Hypertextovodkaz"/>
                </w:rPr>
                <w:t xml:space="preserve"> | Daniel </w:t>
              </w:r>
              <w:proofErr w:type="spellStart"/>
              <w:r w:rsidR="008F2752">
                <w:rPr>
                  <w:rStyle w:val="Hypertextovodkaz"/>
                </w:rPr>
                <w:t>Prokop</w:t>
              </w:r>
            </w:hyperlink>
            <w:r w:rsidR="008F2752">
              <w:rPr>
                <w:rFonts w:ascii="Arial" w:hAnsi="Arial" w:cs="Arial"/>
                <w:color w:val="FFFFFF"/>
                <w:sz w:val="21"/>
                <w:szCs w:val="21"/>
              </w:rPr>
              <w:t>P</w:t>
            </w:r>
            <w:proofErr w:type="spellEnd"/>
          </w:p>
          <w:p w:rsidR="008F2752" w:rsidRDefault="00F95C74" w:rsidP="00F95C74">
            <w:r>
              <w:t>(sociologická výzkumná organizace)</w:t>
            </w:r>
          </w:p>
        </w:tc>
        <w:tc>
          <w:tcPr>
            <w:tcW w:w="9781" w:type="dxa"/>
          </w:tcPr>
          <w:p w:rsidR="00367F0F" w:rsidRDefault="008F2752" w:rsidP="00180F5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Mapa vzdělávacího ne/úspěchu</w:t>
            </w:r>
          </w:p>
          <w:p w:rsidR="008F2752" w:rsidRDefault="006F5E6E" w:rsidP="009B2DDD">
            <w:pPr>
              <w:autoSpaceDE w:val="0"/>
              <w:autoSpaceDN w:val="0"/>
              <w:adjustRightInd w:val="0"/>
              <w:rPr>
                <w:rStyle w:val="Hypertextovodkaz"/>
              </w:rPr>
            </w:pPr>
            <w:hyperlink r:id="rId41" w:history="1">
              <w:r w:rsidR="008F2752">
                <w:rPr>
                  <w:rStyle w:val="Hypertextovodkaz"/>
                </w:rPr>
                <w:t>Mapa vzdělávacího ne/úspěchu (mapavzdelavani.cz)</w:t>
              </w:r>
            </w:hyperlink>
          </w:p>
          <w:p w:rsidR="0026191E" w:rsidRPr="009B2DDD" w:rsidRDefault="0026191E" w:rsidP="009B2DDD">
            <w:pPr>
              <w:autoSpaceDE w:val="0"/>
              <w:autoSpaceDN w:val="0"/>
              <w:adjustRightInd w:val="0"/>
              <w:rPr>
                <w:color w:val="0000FF"/>
                <w:u w:val="single"/>
              </w:rPr>
            </w:pPr>
          </w:p>
        </w:tc>
      </w:tr>
      <w:tr w:rsidR="00F9140C" w:rsidTr="00180F57">
        <w:tc>
          <w:tcPr>
            <w:tcW w:w="4531" w:type="dxa"/>
          </w:tcPr>
          <w:p w:rsidR="00367F0F" w:rsidRDefault="00367F0F" w:rsidP="00180F57">
            <w:r>
              <w:t>Výzva č. 82 – Akční plánování v</w:t>
            </w:r>
            <w:r w:rsidR="00981C11">
              <w:t> </w:t>
            </w:r>
            <w:r>
              <w:t>území</w:t>
            </w:r>
          </w:p>
          <w:p w:rsidR="00F9140C" w:rsidRPr="00EA0E2D" w:rsidRDefault="00F9140C" w:rsidP="00180F57">
            <w:pPr>
              <w:rPr>
                <w:b/>
              </w:rPr>
            </w:pPr>
          </w:p>
        </w:tc>
        <w:tc>
          <w:tcPr>
            <w:tcW w:w="9781" w:type="dxa"/>
          </w:tcPr>
          <w:p w:rsidR="00EA0E2D" w:rsidRDefault="00EA0E2D" w:rsidP="00180F57">
            <w:r w:rsidRPr="00EA0E2D">
              <w:rPr>
                <w:b/>
              </w:rPr>
              <w:t>Postupy KAP III, Postupy MAP III</w:t>
            </w:r>
          </w:p>
          <w:p w:rsidR="00F9140C" w:rsidRDefault="006F5E6E" w:rsidP="00180F57">
            <w:hyperlink r:id="rId42" w:history="1">
              <w:r w:rsidR="00367F0F">
                <w:rPr>
                  <w:rStyle w:val="Hypertextovodkaz"/>
                </w:rPr>
                <w:t>Operační program Výzkum, vývoj, vzdělávání / MŠMT (msmt.cz)</w:t>
              </w:r>
            </w:hyperlink>
          </w:p>
          <w:p w:rsidR="00367F0F" w:rsidRDefault="00367F0F" w:rsidP="00180F57">
            <w:pPr>
              <w:rPr>
                <w:rFonts w:cs="Arial"/>
                <w:b/>
              </w:rPr>
            </w:pPr>
          </w:p>
        </w:tc>
      </w:tr>
      <w:tr w:rsidR="00BE44C4" w:rsidTr="00180F57">
        <w:tc>
          <w:tcPr>
            <w:tcW w:w="4531" w:type="dxa"/>
          </w:tcPr>
          <w:p w:rsidR="00BE44C4" w:rsidRDefault="00BE44C4" w:rsidP="00180F57">
            <w:r>
              <w:lastRenderedPageBreak/>
              <w:t>Dům zahraniční spolupráce</w:t>
            </w:r>
          </w:p>
          <w:p w:rsidR="00BE44C4" w:rsidRDefault="00BE44C4" w:rsidP="00180F57"/>
          <w:p w:rsidR="00BE44C4" w:rsidRPr="00BE44C4" w:rsidRDefault="006F5E6E" w:rsidP="00180F57">
            <w:pPr>
              <w:rPr>
                <w:rFonts w:cstheme="minorHAnsi"/>
              </w:rPr>
            </w:pPr>
            <w:hyperlink r:id="rId43" w:history="1">
              <w:r w:rsidR="00BE44C4" w:rsidRPr="00BE44C4">
                <w:rPr>
                  <w:rStyle w:val="Hypertextovodkaz"/>
                  <w:rFonts w:cstheme="minorHAnsi"/>
                </w:rPr>
                <w:t>Neformální vzdělávání mládeže | Dům zahraniční spolupráce (dzs.cz)</w:t>
              </w:r>
            </w:hyperlink>
          </w:p>
        </w:tc>
        <w:tc>
          <w:tcPr>
            <w:tcW w:w="9781" w:type="dxa"/>
          </w:tcPr>
          <w:p w:rsidR="00BE44C4" w:rsidRPr="00BE44C4" w:rsidRDefault="00BE44C4" w:rsidP="00180F57">
            <w:pPr>
              <w:rPr>
                <w:b/>
              </w:rPr>
            </w:pPr>
            <w:r w:rsidRPr="00BE44C4">
              <w:rPr>
                <w:b/>
              </w:rPr>
              <w:t>Úvod do neformálního vzdělávání</w:t>
            </w:r>
            <w:r>
              <w:rPr>
                <w:b/>
              </w:rPr>
              <w:t xml:space="preserve"> (publikace)</w:t>
            </w:r>
          </w:p>
          <w:p w:rsidR="00BE44C4" w:rsidRPr="00BE44C4" w:rsidRDefault="00BE44C4" w:rsidP="00180F57">
            <w:pPr>
              <w:rPr>
                <w:b/>
              </w:rPr>
            </w:pPr>
          </w:p>
          <w:p w:rsidR="00BE44C4" w:rsidRDefault="006F5E6E" w:rsidP="00180F57">
            <w:hyperlink r:id="rId44" w:history="1">
              <w:r w:rsidR="00BE44C4">
                <w:rPr>
                  <w:rStyle w:val="Hypertextovodkaz"/>
                </w:rPr>
                <w:t>úvod2.pdf (dzs.cz)</w:t>
              </w:r>
            </w:hyperlink>
          </w:p>
          <w:p w:rsidR="00BE44C4" w:rsidRPr="00EA0E2D" w:rsidRDefault="00BE44C4" w:rsidP="00180F57">
            <w:pPr>
              <w:rPr>
                <w:b/>
              </w:rPr>
            </w:pPr>
          </w:p>
        </w:tc>
      </w:tr>
      <w:tr w:rsidR="004E45F7" w:rsidTr="00180F57">
        <w:tc>
          <w:tcPr>
            <w:tcW w:w="4531" w:type="dxa"/>
          </w:tcPr>
          <w:p w:rsidR="004E45F7" w:rsidRDefault="004E45F7" w:rsidP="00180F57">
            <w:proofErr w:type="spellStart"/>
            <w:r>
              <w:t>Edusíť</w:t>
            </w:r>
            <w:proofErr w:type="spellEnd"/>
          </w:p>
          <w:p w:rsidR="004E45F7" w:rsidRDefault="006F5E6E" w:rsidP="00180F57">
            <w:hyperlink r:id="rId45" w:history="1">
              <w:proofErr w:type="spellStart"/>
              <w:r w:rsidR="004E45F7">
                <w:rPr>
                  <w:rStyle w:val="Hypertextovodkaz"/>
                </w:rPr>
                <w:t>Edusíť</w:t>
              </w:r>
              <w:proofErr w:type="spellEnd"/>
              <w:r w:rsidR="004E45F7">
                <w:rPr>
                  <w:rStyle w:val="Hypertextovodkaz"/>
                </w:rPr>
                <w:t>: Otevřená síť odborníků v tematických oblastech vzdělávání (edusit.cz)</w:t>
              </w:r>
            </w:hyperlink>
          </w:p>
        </w:tc>
        <w:tc>
          <w:tcPr>
            <w:tcW w:w="9781" w:type="dxa"/>
          </w:tcPr>
          <w:p w:rsidR="004E45F7" w:rsidRPr="006E16C2" w:rsidRDefault="004E45F7" w:rsidP="00180F57">
            <w:pPr>
              <w:rPr>
                <w:rFonts w:cs="Arial"/>
              </w:rPr>
            </w:pPr>
            <w:r w:rsidRPr="006E16C2">
              <w:rPr>
                <w:rFonts w:cs="Arial"/>
                <w:b/>
              </w:rPr>
              <w:t xml:space="preserve">Cílem </w:t>
            </w:r>
            <w:proofErr w:type="spellStart"/>
            <w:r w:rsidRPr="006E16C2">
              <w:rPr>
                <w:rFonts w:cs="Arial"/>
                <w:b/>
              </w:rPr>
              <w:t>Edusítě</w:t>
            </w:r>
            <w:proofErr w:type="spellEnd"/>
            <w:r w:rsidRPr="006E16C2">
              <w:rPr>
                <w:rFonts w:cs="Arial"/>
              </w:rPr>
              <w:t xml:space="preserve"> je sdružit odborníky ve vzdělávání a zpřístupnit je napříč vzdělávacími institucemi, je dobré mít jednotné, dosažitelné místo, ve kterém by byla zajištěna kontinuita kontaktů registrovaných odborníků v tematických oblastech vzdělávání a v oblasti rozvoje škol.</w:t>
            </w:r>
          </w:p>
          <w:p w:rsidR="004E45F7" w:rsidRPr="006E16C2" w:rsidRDefault="004E45F7" w:rsidP="00180F57">
            <w:pPr>
              <w:rPr>
                <w:b/>
              </w:rPr>
            </w:pPr>
            <w:r w:rsidRPr="006E16C2">
              <w:rPr>
                <w:b/>
              </w:rPr>
              <w:t>Co děláme?</w:t>
            </w:r>
          </w:p>
          <w:p w:rsidR="004E45F7" w:rsidRPr="006E16C2" w:rsidRDefault="004E45F7" w:rsidP="00180F57">
            <w:r w:rsidRPr="006E16C2">
              <w:t>Spojujeme všechny ty, kteří mají co říci a chtějí pomoci ostatním.</w:t>
            </w:r>
          </w:p>
          <w:p w:rsidR="004E45F7" w:rsidRPr="006E16C2" w:rsidRDefault="004E45F7" w:rsidP="00180F57">
            <w:r w:rsidRPr="006E16C2">
              <w:t xml:space="preserve">Vedeme tematické skupiny na </w:t>
            </w:r>
            <w:proofErr w:type="spellStart"/>
            <w:r w:rsidRPr="006E16C2">
              <w:t>LinkedInu</w:t>
            </w:r>
            <w:proofErr w:type="spellEnd"/>
            <w:r w:rsidRPr="006E16C2">
              <w:t>, kde se odborníci sdružují a diskutují.</w:t>
            </w:r>
          </w:p>
          <w:p w:rsidR="004E45F7" w:rsidRPr="006E16C2" w:rsidRDefault="004E45F7" w:rsidP="00180F57">
            <w:r w:rsidRPr="006E16C2">
              <w:t>Registrujeme odborníky na jednotlivé oblasti vzdělávání v našem katalogu.</w:t>
            </w:r>
          </w:p>
          <w:p w:rsidR="004E45F7" w:rsidRPr="006E16C2" w:rsidRDefault="004E45F7" w:rsidP="00180F57">
            <w:r w:rsidRPr="006E16C2">
              <w:t>Zpřístupňujeme tyto odborníky všem, kteří tyto odborníky potřebují.</w:t>
            </w:r>
          </w:p>
          <w:p w:rsidR="004E45F7" w:rsidRPr="00E47D14" w:rsidRDefault="004E45F7" w:rsidP="00180F57">
            <w:pPr>
              <w:rPr>
                <w:b/>
              </w:rPr>
            </w:pPr>
            <w:r w:rsidRPr="006E16C2">
              <w:rPr>
                <w:b/>
              </w:rPr>
              <w:t>Kontaktujte nás…</w:t>
            </w:r>
          </w:p>
        </w:tc>
      </w:tr>
    </w:tbl>
    <w:p w:rsidR="00B4302B" w:rsidRPr="006F061E" w:rsidRDefault="00B4302B" w:rsidP="006F061E"/>
    <w:sectPr w:rsidR="00B4302B" w:rsidRPr="006F061E" w:rsidSect="00862B7E">
      <w:headerReference w:type="default" r:id="rId46"/>
      <w:footerReference w:type="default" r:id="rId4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E6E" w:rsidRDefault="006F5E6E" w:rsidP="006F061E">
      <w:pPr>
        <w:spacing w:after="0" w:line="240" w:lineRule="auto"/>
      </w:pPr>
      <w:r>
        <w:separator/>
      </w:r>
    </w:p>
  </w:endnote>
  <w:endnote w:type="continuationSeparator" w:id="0">
    <w:p w:rsidR="006F5E6E" w:rsidRDefault="006F5E6E" w:rsidP="006F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613894"/>
      <w:docPartObj>
        <w:docPartGallery w:val="Page Numbers (Bottom of Page)"/>
        <w:docPartUnique/>
      </w:docPartObj>
    </w:sdtPr>
    <w:sdtEndPr/>
    <w:sdtContent>
      <w:p w:rsidR="001C2F95" w:rsidRDefault="001C2F9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547">
          <w:rPr>
            <w:noProof/>
          </w:rPr>
          <w:t>3</w:t>
        </w:r>
        <w:r>
          <w:fldChar w:fldCharType="end"/>
        </w:r>
      </w:p>
    </w:sdtContent>
  </w:sdt>
  <w:p w:rsidR="00BA1A07" w:rsidRDefault="00BA1A07" w:rsidP="00BA1A07">
    <w:pPr>
      <w:pStyle w:val="Zpat"/>
      <w:jc w:val="center"/>
    </w:pPr>
    <w:r>
      <w:rPr>
        <w:rFonts w:cstheme="minorHAnsi"/>
        <w:sz w:val="20"/>
        <w:szCs w:val="20"/>
      </w:rPr>
      <w:t>Projekt</w:t>
    </w:r>
    <w:r w:rsidRPr="00605F78">
      <w:rPr>
        <w:rFonts w:cstheme="minorHAnsi"/>
        <w:sz w:val="20"/>
        <w:szCs w:val="20"/>
      </w:rPr>
      <w:t xml:space="preserve"> METODICKÁ PODPORA AKČNÍHO PLÁNOVÁNÍ CZ.02.3.68/0.0/0.0/20_082/0022945</w:t>
    </w:r>
  </w:p>
  <w:p w:rsidR="006F061E" w:rsidRDefault="006F06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E6E" w:rsidRDefault="006F5E6E" w:rsidP="006F061E">
      <w:pPr>
        <w:spacing w:after="0" w:line="240" w:lineRule="auto"/>
      </w:pPr>
      <w:r>
        <w:separator/>
      </w:r>
    </w:p>
  </w:footnote>
  <w:footnote w:type="continuationSeparator" w:id="0">
    <w:p w:rsidR="006F5E6E" w:rsidRDefault="006F5E6E" w:rsidP="006F061E">
      <w:pPr>
        <w:spacing w:after="0" w:line="240" w:lineRule="auto"/>
      </w:pPr>
      <w:r>
        <w:continuationSeparator/>
      </w:r>
    </w:p>
  </w:footnote>
  <w:footnote w:id="1">
    <w:p w:rsidR="004C16B7" w:rsidRDefault="004C16B7" w:rsidP="004C16B7">
      <w:pPr>
        <w:pStyle w:val="Textpoznpodarou"/>
      </w:pPr>
      <w:r>
        <w:rPr>
          <w:rStyle w:val="Znakapoznpodarou"/>
        </w:rPr>
        <w:footnoteRef/>
      </w:r>
      <w:r>
        <w:t xml:space="preserve"> Při zpracování textu byly využity zdroje z tabulky na str. 9 – 15.</w:t>
      </w:r>
    </w:p>
    <w:p w:rsidR="004C16B7" w:rsidRDefault="004C16B7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61E" w:rsidRDefault="006F061E">
    <w:pPr>
      <w:pStyle w:val="Zhlav"/>
    </w:pPr>
    <w:r>
      <w:t xml:space="preserve">                                                        </w:t>
    </w:r>
    <w:r>
      <w:rPr>
        <w:noProof/>
        <w:lang w:eastAsia="cs-CZ"/>
      </w:rPr>
      <w:drawing>
        <wp:inline distT="0" distB="0" distL="0" distR="0" wp14:anchorId="3D415AC0" wp14:editId="0F434800">
          <wp:extent cx="5639435" cy="951230"/>
          <wp:effectExtent l="0" t="0" r="0" b="1270"/>
          <wp:docPr id="9" name="Obráze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943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1FC1"/>
    <w:multiLevelType w:val="hybridMultilevel"/>
    <w:tmpl w:val="E6921244"/>
    <w:lvl w:ilvl="0" w:tplc="C6BA4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A255A"/>
    <w:multiLevelType w:val="hybridMultilevel"/>
    <w:tmpl w:val="B30A2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642B0"/>
    <w:multiLevelType w:val="hybridMultilevel"/>
    <w:tmpl w:val="999C7182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61842"/>
    <w:multiLevelType w:val="hybridMultilevel"/>
    <w:tmpl w:val="593010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F364A"/>
    <w:multiLevelType w:val="hybridMultilevel"/>
    <w:tmpl w:val="EA5ED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D66E6"/>
    <w:multiLevelType w:val="hybridMultilevel"/>
    <w:tmpl w:val="B62403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B0284"/>
    <w:multiLevelType w:val="multilevel"/>
    <w:tmpl w:val="7706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564673"/>
    <w:multiLevelType w:val="hybridMultilevel"/>
    <w:tmpl w:val="E06669E4"/>
    <w:lvl w:ilvl="0" w:tplc="B718A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AE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E2B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01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0F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E80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70F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E7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4A2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64C124E"/>
    <w:multiLevelType w:val="multilevel"/>
    <w:tmpl w:val="F0BE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6C"/>
    <w:rsid w:val="000076AB"/>
    <w:rsid w:val="000128A8"/>
    <w:rsid w:val="000139BE"/>
    <w:rsid w:val="000277B8"/>
    <w:rsid w:val="000301C1"/>
    <w:rsid w:val="0003024D"/>
    <w:rsid w:val="0003211E"/>
    <w:rsid w:val="000446AF"/>
    <w:rsid w:val="00067009"/>
    <w:rsid w:val="00072985"/>
    <w:rsid w:val="000766F0"/>
    <w:rsid w:val="00084560"/>
    <w:rsid w:val="00087700"/>
    <w:rsid w:val="00091D50"/>
    <w:rsid w:val="00095EF3"/>
    <w:rsid w:val="00097314"/>
    <w:rsid w:val="000973E4"/>
    <w:rsid w:val="000A3C7B"/>
    <w:rsid w:val="000B19D2"/>
    <w:rsid w:val="000B2A96"/>
    <w:rsid w:val="000C0A3C"/>
    <w:rsid w:val="000D3CC2"/>
    <w:rsid w:val="000F489E"/>
    <w:rsid w:val="000F4C80"/>
    <w:rsid w:val="000F7985"/>
    <w:rsid w:val="000F7C77"/>
    <w:rsid w:val="00113AAF"/>
    <w:rsid w:val="00116490"/>
    <w:rsid w:val="0012015D"/>
    <w:rsid w:val="001251C8"/>
    <w:rsid w:val="00130E6F"/>
    <w:rsid w:val="00135ECA"/>
    <w:rsid w:val="00145306"/>
    <w:rsid w:val="00163628"/>
    <w:rsid w:val="00171FEC"/>
    <w:rsid w:val="00180F57"/>
    <w:rsid w:val="0018247C"/>
    <w:rsid w:val="00184130"/>
    <w:rsid w:val="0018589D"/>
    <w:rsid w:val="00185983"/>
    <w:rsid w:val="0018773E"/>
    <w:rsid w:val="001926AC"/>
    <w:rsid w:val="00192957"/>
    <w:rsid w:val="00192D0E"/>
    <w:rsid w:val="001B08C2"/>
    <w:rsid w:val="001B7E80"/>
    <w:rsid w:val="001C2505"/>
    <w:rsid w:val="001C2F95"/>
    <w:rsid w:val="001C6A85"/>
    <w:rsid w:val="001E1658"/>
    <w:rsid w:val="001E4324"/>
    <w:rsid w:val="002043F0"/>
    <w:rsid w:val="00216002"/>
    <w:rsid w:val="00216B80"/>
    <w:rsid w:val="0022729A"/>
    <w:rsid w:val="00234F65"/>
    <w:rsid w:val="00235768"/>
    <w:rsid w:val="002447A1"/>
    <w:rsid w:val="00251A3B"/>
    <w:rsid w:val="0026191E"/>
    <w:rsid w:val="00270CD9"/>
    <w:rsid w:val="00280692"/>
    <w:rsid w:val="00283ED1"/>
    <w:rsid w:val="00285923"/>
    <w:rsid w:val="00287E09"/>
    <w:rsid w:val="00291CAE"/>
    <w:rsid w:val="0029206C"/>
    <w:rsid w:val="002921FA"/>
    <w:rsid w:val="002A0AD6"/>
    <w:rsid w:val="002B01F3"/>
    <w:rsid w:val="002B5B56"/>
    <w:rsid w:val="002B5D55"/>
    <w:rsid w:val="002C118C"/>
    <w:rsid w:val="002D0B74"/>
    <w:rsid w:val="002F44B4"/>
    <w:rsid w:val="00300331"/>
    <w:rsid w:val="00307FA2"/>
    <w:rsid w:val="00310928"/>
    <w:rsid w:val="00341455"/>
    <w:rsid w:val="00342D8C"/>
    <w:rsid w:val="003521A9"/>
    <w:rsid w:val="003532E0"/>
    <w:rsid w:val="00367F0F"/>
    <w:rsid w:val="00384E7B"/>
    <w:rsid w:val="003C4B02"/>
    <w:rsid w:val="003C7BBF"/>
    <w:rsid w:val="003E4FB1"/>
    <w:rsid w:val="003E775A"/>
    <w:rsid w:val="00403EA9"/>
    <w:rsid w:val="00414810"/>
    <w:rsid w:val="004149B4"/>
    <w:rsid w:val="00424E11"/>
    <w:rsid w:val="0043350E"/>
    <w:rsid w:val="00437C3C"/>
    <w:rsid w:val="00445957"/>
    <w:rsid w:val="00452896"/>
    <w:rsid w:val="0047254A"/>
    <w:rsid w:val="004736C8"/>
    <w:rsid w:val="0047621F"/>
    <w:rsid w:val="00487E23"/>
    <w:rsid w:val="004976DD"/>
    <w:rsid w:val="004A4535"/>
    <w:rsid w:val="004B4479"/>
    <w:rsid w:val="004C16B7"/>
    <w:rsid w:val="004C6166"/>
    <w:rsid w:val="004E1532"/>
    <w:rsid w:val="004E27E2"/>
    <w:rsid w:val="004E45F7"/>
    <w:rsid w:val="004F35CD"/>
    <w:rsid w:val="004F420E"/>
    <w:rsid w:val="00537A44"/>
    <w:rsid w:val="005526BB"/>
    <w:rsid w:val="005526E6"/>
    <w:rsid w:val="005538CF"/>
    <w:rsid w:val="005645CB"/>
    <w:rsid w:val="00583931"/>
    <w:rsid w:val="005905AE"/>
    <w:rsid w:val="00593DB7"/>
    <w:rsid w:val="005A1A0D"/>
    <w:rsid w:val="005B5C61"/>
    <w:rsid w:val="005C5F0B"/>
    <w:rsid w:val="005D6154"/>
    <w:rsid w:val="005E090B"/>
    <w:rsid w:val="005E254C"/>
    <w:rsid w:val="005E3539"/>
    <w:rsid w:val="006023BE"/>
    <w:rsid w:val="00602C0A"/>
    <w:rsid w:val="0061318C"/>
    <w:rsid w:val="0062465C"/>
    <w:rsid w:val="00632BAC"/>
    <w:rsid w:val="006337A6"/>
    <w:rsid w:val="006424F8"/>
    <w:rsid w:val="00643C21"/>
    <w:rsid w:val="00645488"/>
    <w:rsid w:val="0065160E"/>
    <w:rsid w:val="0065731D"/>
    <w:rsid w:val="00666FFB"/>
    <w:rsid w:val="00673BD2"/>
    <w:rsid w:val="00697E41"/>
    <w:rsid w:val="006A5655"/>
    <w:rsid w:val="006A56B2"/>
    <w:rsid w:val="006B28A6"/>
    <w:rsid w:val="006B5CE2"/>
    <w:rsid w:val="006B7535"/>
    <w:rsid w:val="006B7F90"/>
    <w:rsid w:val="006D27BD"/>
    <w:rsid w:val="006D7057"/>
    <w:rsid w:val="006E16C2"/>
    <w:rsid w:val="006F061E"/>
    <w:rsid w:val="006F5E6E"/>
    <w:rsid w:val="00701D77"/>
    <w:rsid w:val="00730228"/>
    <w:rsid w:val="00737F0A"/>
    <w:rsid w:val="0074653D"/>
    <w:rsid w:val="00755B2E"/>
    <w:rsid w:val="007561CA"/>
    <w:rsid w:val="00757F8A"/>
    <w:rsid w:val="00764861"/>
    <w:rsid w:val="00764B6B"/>
    <w:rsid w:val="0076792A"/>
    <w:rsid w:val="00770BB2"/>
    <w:rsid w:val="007715F2"/>
    <w:rsid w:val="00773C81"/>
    <w:rsid w:val="00774200"/>
    <w:rsid w:val="00781C57"/>
    <w:rsid w:val="00792216"/>
    <w:rsid w:val="007A00EB"/>
    <w:rsid w:val="007A5CA8"/>
    <w:rsid w:val="007B2413"/>
    <w:rsid w:val="007C0243"/>
    <w:rsid w:val="007C13A2"/>
    <w:rsid w:val="007F39A9"/>
    <w:rsid w:val="00816B6A"/>
    <w:rsid w:val="00826A54"/>
    <w:rsid w:val="008331CE"/>
    <w:rsid w:val="008441DC"/>
    <w:rsid w:val="00846242"/>
    <w:rsid w:val="00860A8B"/>
    <w:rsid w:val="008625E8"/>
    <w:rsid w:val="00862B7E"/>
    <w:rsid w:val="008651DB"/>
    <w:rsid w:val="008653AE"/>
    <w:rsid w:val="008729EA"/>
    <w:rsid w:val="00873734"/>
    <w:rsid w:val="00873782"/>
    <w:rsid w:val="008A0D68"/>
    <w:rsid w:val="008A3FDD"/>
    <w:rsid w:val="008C07C0"/>
    <w:rsid w:val="008C5BDD"/>
    <w:rsid w:val="008D6162"/>
    <w:rsid w:val="008E7C2D"/>
    <w:rsid w:val="008F2752"/>
    <w:rsid w:val="008F725F"/>
    <w:rsid w:val="008F7665"/>
    <w:rsid w:val="00901D37"/>
    <w:rsid w:val="009030E8"/>
    <w:rsid w:val="00920DD4"/>
    <w:rsid w:val="00923A6C"/>
    <w:rsid w:val="00941578"/>
    <w:rsid w:val="00945DF0"/>
    <w:rsid w:val="009462B9"/>
    <w:rsid w:val="0094739E"/>
    <w:rsid w:val="00952894"/>
    <w:rsid w:val="0096135F"/>
    <w:rsid w:val="00963D2C"/>
    <w:rsid w:val="00981C11"/>
    <w:rsid w:val="009820B0"/>
    <w:rsid w:val="0098276A"/>
    <w:rsid w:val="00990488"/>
    <w:rsid w:val="00997BA5"/>
    <w:rsid w:val="009A014B"/>
    <w:rsid w:val="009A2D1E"/>
    <w:rsid w:val="009B2DDD"/>
    <w:rsid w:val="009E087E"/>
    <w:rsid w:val="009E4ACE"/>
    <w:rsid w:val="009E5ECA"/>
    <w:rsid w:val="009F051F"/>
    <w:rsid w:val="00A00641"/>
    <w:rsid w:val="00A02350"/>
    <w:rsid w:val="00A11068"/>
    <w:rsid w:val="00A40702"/>
    <w:rsid w:val="00A47531"/>
    <w:rsid w:val="00A50527"/>
    <w:rsid w:val="00A50C09"/>
    <w:rsid w:val="00A60332"/>
    <w:rsid w:val="00A6235A"/>
    <w:rsid w:val="00A632DF"/>
    <w:rsid w:val="00A77A96"/>
    <w:rsid w:val="00A9216C"/>
    <w:rsid w:val="00AA07CA"/>
    <w:rsid w:val="00AA1A5A"/>
    <w:rsid w:val="00AA2819"/>
    <w:rsid w:val="00AA3155"/>
    <w:rsid w:val="00AC74A3"/>
    <w:rsid w:val="00AF42C4"/>
    <w:rsid w:val="00B01284"/>
    <w:rsid w:val="00B17E7B"/>
    <w:rsid w:val="00B207B8"/>
    <w:rsid w:val="00B225D1"/>
    <w:rsid w:val="00B22608"/>
    <w:rsid w:val="00B26F43"/>
    <w:rsid w:val="00B4302B"/>
    <w:rsid w:val="00B54049"/>
    <w:rsid w:val="00B55CD8"/>
    <w:rsid w:val="00B567F4"/>
    <w:rsid w:val="00B70202"/>
    <w:rsid w:val="00B80FCA"/>
    <w:rsid w:val="00B91DAA"/>
    <w:rsid w:val="00BA1A07"/>
    <w:rsid w:val="00BB1CA4"/>
    <w:rsid w:val="00BB77DD"/>
    <w:rsid w:val="00BC0397"/>
    <w:rsid w:val="00BC4EF3"/>
    <w:rsid w:val="00BD28B7"/>
    <w:rsid w:val="00BD2B7D"/>
    <w:rsid w:val="00BD7E90"/>
    <w:rsid w:val="00BE44C4"/>
    <w:rsid w:val="00BE6095"/>
    <w:rsid w:val="00BF0A54"/>
    <w:rsid w:val="00BF11FC"/>
    <w:rsid w:val="00C135F1"/>
    <w:rsid w:val="00C25577"/>
    <w:rsid w:val="00C647F4"/>
    <w:rsid w:val="00C64E1D"/>
    <w:rsid w:val="00C82F39"/>
    <w:rsid w:val="00C8780E"/>
    <w:rsid w:val="00C91D08"/>
    <w:rsid w:val="00C948E7"/>
    <w:rsid w:val="00C94D7F"/>
    <w:rsid w:val="00CA09C0"/>
    <w:rsid w:val="00CA79D8"/>
    <w:rsid w:val="00CC4C2F"/>
    <w:rsid w:val="00CF3DB7"/>
    <w:rsid w:val="00D00162"/>
    <w:rsid w:val="00D15293"/>
    <w:rsid w:val="00D22963"/>
    <w:rsid w:val="00D27ABA"/>
    <w:rsid w:val="00D3141D"/>
    <w:rsid w:val="00D32956"/>
    <w:rsid w:val="00D35A29"/>
    <w:rsid w:val="00D3766C"/>
    <w:rsid w:val="00D449C6"/>
    <w:rsid w:val="00D554DF"/>
    <w:rsid w:val="00D705BF"/>
    <w:rsid w:val="00D7271C"/>
    <w:rsid w:val="00D75138"/>
    <w:rsid w:val="00D76114"/>
    <w:rsid w:val="00D809D4"/>
    <w:rsid w:val="00D83081"/>
    <w:rsid w:val="00D85237"/>
    <w:rsid w:val="00D94636"/>
    <w:rsid w:val="00D97FC1"/>
    <w:rsid w:val="00DA3593"/>
    <w:rsid w:val="00DC2B6B"/>
    <w:rsid w:val="00DC2D0C"/>
    <w:rsid w:val="00DC5E32"/>
    <w:rsid w:val="00DD3666"/>
    <w:rsid w:val="00DE11DB"/>
    <w:rsid w:val="00DF594B"/>
    <w:rsid w:val="00DF5D65"/>
    <w:rsid w:val="00DF6779"/>
    <w:rsid w:val="00E212C9"/>
    <w:rsid w:val="00E2197F"/>
    <w:rsid w:val="00E314DD"/>
    <w:rsid w:val="00E479B5"/>
    <w:rsid w:val="00E47D14"/>
    <w:rsid w:val="00E52893"/>
    <w:rsid w:val="00E573B9"/>
    <w:rsid w:val="00E6203B"/>
    <w:rsid w:val="00E67752"/>
    <w:rsid w:val="00E84DC6"/>
    <w:rsid w:val="00E851AE"/>
    <w:rsid w:val="00E90824"/>
    <w:rsid w:val="00E91761"/>
    <w:rsid w:val="00EA0E2D"/>
    <w:rsid w:val="00EA1793"/>
    <w:rsid w:val="00EA6E72"/>
    <w:rsid w:val="00EB6353"/>
    <w:rsid w:val="00EC0155"/>
    <w:rsid w:val="00EC7EAA"/>
    <w:rsid w:val="00ED5BDD"/>
    <w:rsid w:val="00EE17FA"/>
    <w:rsid w:val="00EE25F7"/>
    <w:rsid w:val="00EF3A04"/>
    <w:rsid w:val="00F02298"/>
    <w:rsid w:val="00F22294"/>
    <w:rsid w:val="00F23140"/>
    <w:rsid w:val="00F2376F"/>
    <w:rsid w:val="00F24B7A"/>
    <w:rsid w:val="00F30783"/>
    <w:rsid w:val="00F311AA"/>
    <w:rsid w:val="00F36589"/>
    <w:rsid w:val="00F36827"/>
    <w:rsid w:val="00F42999"/>
    <w:rsid w:val="00F42B91"/>
    <w:rsid w:val="00F57260"/>
    <w:rsid w:val="00F65611"/>
    <w:rsid w:val="00F7685E"/>
    <w:rsid w:val="00F82547"/>
    <w:rsid w:val="00F85982"/>
    <w:rsid w:val="00F9140C"/>
    <w:rsid w:val="00F93204"/>
    <w:rsid w:val="00F95C74"/>
    <w:rsid w:val="00FA1541"/>
    <w:rsid w:val="00FB3B48"/>
    <w:rsid w:val="00FB6A8F"/>
    <w:rsid w:val="00FC2ED2"/>
    <w:rsid w:val="00FC6E56"/>
    <w:rsid w:val="00FD0613"/>
    <w:rsid w:val="00FD37A6"/>
    <w:rsid w:val="00FE2CDC"/>
    <w:rsid w:val="00FF3BFF"/>
    <w:rsid w:val="00FF3C72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EEAD"/>
  <w15:chartTrackingRefBased/>
  <w15:docId w15:val="{E7A4CF1C-4814-477B-9FB2-5419366B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85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E47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E16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E5EC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D27BD"/>
    <w:rPr>
      <w:color w:val="954F72" w:themeColor="followedHyperlink"/>
      <w:u w:val="single"/>
    </w:rPr>
  </w:style>
  <w:style w:type="paragraph" w:customStyle="1" w:styleId="Default">
    <w:name w:val="Default"/>
    <w:rsid w:val="00FA15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42B91"/>
    <w:pPr>
      <w:ind w:left="720"/>
      <w:contextualSpacing/>
    </w:pPr>
  </w:style>
  <w:style w:type="character" w:customStyle="1" w:styleId="A8">
    <w:name w:val="A8"/>
    <w:uiPriority w:val="99"/>
    <w:rsid w:val="00997BA5"/>
    <w:rPr>
      <w:color w:val="000000"/>
      <w:sz w:val="19"/>
      <w:szCs w:val="19"/>
    </w:rPr>
  </w:style>
  <w:style w:type="character" w:customStyle="1" w:styleId="Nadpis3Char">
    <w:name w:val="Nadpis 3 Char"/>
    <w:basedOn w:val="Standardnpsmoodstavce"/>
    <w:link w:val="Nadpis3"/>
    <w:uiPriority w:val="9"/>
    <w:rsid w:val="00E47D1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E47D14"/>
    <w:rPr>
      <w:b/>
      <w:bCs/>
    </w:rPr>
  </w:style>
  <w:style w:type="character" w:customStyle="1" w:styleId="A10">
    <w:name w:val="A10"/>
    <w:uiPriority w:val="99"/>
    <w:rsid w:val="00C94D7F"/>
    <w:rPr>
      <w:color w:val="00000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8E7C2D"/>
    <w:rPr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E16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1859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20">
    <w:name w:val="Pa20"/>
    <w:basedOn w:val="Default"/>
    <w:next w:val="Default"/>
    <w:uiPriority w:val="99"/>
    <w:rsid w:val="00D75138"/>
    <w:pPr>
      <w:spacing w:line="241" w:lineRule="atLeast"/>
    </w:pPr>
    <w:rPr>
      <w:rFonts w:ascii="Arial" w:hAnsi="Arial" w:cs="Arial"/>
      <w:color w:val="auto"/>
    </w:rPr>
  </w:style>
  <w:style w:type="paragraph" w:customStyle="1" w:styleId="Pa10">
    <w:name w:val="Pa10"/>
    <w:basedOn w:val="Default"/>
    <w:next w:val="Default"/>
    <w:uiPriority w:val="99"/>
    <w:rsid w:val="00D75138"/>
    <w:pPr>
      <w:spacing w:line="241" w:lineRule="atLeast"/>
    </w:pPr>
    <w:rPr>
      <w:rFonts w:ascii="Arial" w:hAnsi="Arial" w:cs="Arial"/>
      <w:color w:val="auto"/>
    </w:rPr>
  </w:style>
  <w:style w:type="paragraph" w:customStyle="1" w:styleId="Pa22">
    <w:name w:val="Pa22"/>
    <w:basedOn w:val="Default"/>
    <w:next w:val="Default"/>
    <w:uiPriority w:val="99"/>
    <w:rsid w:val="00D75138"/>
    <w:pPr>
      <w:spacing w:line="241" w:lineRule="atLeast"/>
    </w:pPr>
    <w:rPr>
      <w:rFonts w:ascii="Arial" w:hAnsi="Arial" w:cs="Arial"/>
      <w:color w:val="auto"/>
    </w:rPr>
  </w:style>
  <w:style w:type="character" w:customStyle="1" w:styleId="A11">
    <w:name w:val="A11"/>
    <w:uiPriority w:val="99"/>
    <w:rsid w:val="0098276A"/>
    <w:rPr>
      <w:b/>
      <w:bCs/>
      <w:color w:val="000000"/>
      <w:sz w:val="12"/>
      <w:szCs w:val="12"/>
    </w:rPr>
  </w:style>
  <w:style w:type="paragraph" w:customStyle="1" w:styleId="Pa11">
    <w:name w:val="Pa11"/>
    <w:basedOn w:val="Default"/>
    <w:next w:val="Default"/>
    <w:uiPriority w:val="99"/>
    <w:rsid w:val="0098276A"/>
    <w:pPr>
      <w:spacing w:line="241" w:lineRule="atLeast"/>
    </w:pPr>
    <w:rPr>
      <w:rFonts w:ascii="Arial" w:hAnsi="Arial" w:cs="Arial"/>
      <w:color w:val="auto"/>
    </w:rPr>
  </w:style>
  <w:style w:type="paragraph" w:styleId="Normlnweb">
    <w:name w:val="Normal (Web)"/>
    <w:basedOn w:val="Normln"/>
    <w:uiPriority w:val="99"/>
    <w:unhideWhenUsed/>
    <w:rsid w:val="00D8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0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061E"/>
  </w:style>
  <w:style w:type="paragraph" w:styleId="Zpat">
    <w:name w:val="footer"/>
    <w:basedOn w:val="Normln"/>
    <w:link w:val="ZpatChar"/>
    <w:uiPriority w:val="99"/>
    <w:unhideWhenUsed/>
    <w:rsid w:val="006F0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061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16B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16B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C16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34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1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22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1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78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30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6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80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19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85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smt.cz/vzdelavani/skolstvi-v-cr/dz-cr-2019-2023" TargetMode="External"/><Relationship Id="rId18" Type="http://schemas.openxmlformats.org/officeDocument/2006/relationships/hyperlink" Target="https://opjak.cz/aktuality/sablony-op-jak-se-blizi/" TargetMode="External"/><Relationship Id="rId26" Type="http://schemas.openxmlformats.org/officeDocument/2006/relationships/hyperlink" Target="https://vedemeskolu.npi.cz/wp-content/uploads/2020/08/262_manual_profesniho_rozvoje.pdf" TargetMode="External"/><Relationship Id="rId39" Type="http://schemas.openxmlformats.org/officeDocument/2006/relationships/hyperlink" Target="https://www.csicr.cz/Csicr/media/Prilohy/Obr%c3%a1zky%20ke%20%c4%8dl%c3%a1nk%c5%afm/Kvalitn%c3%ad%20%c5%a1kola%209.%206.%202015/Kvalitni-skola-kriteria-a-indikatory-hodnoceni-konecna-verze-s-poznamkou-pod-carou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archiv-nuv.npi.cz/p-kap.html" TargetMode="External"/><Relationship Id="rId34" Type="http://schemas.openxmlformats.org/officeDocument/2006/relationships/hyperlink" Target="https://www.csicr.cz/cz/Dokumenty/Publikace-a-ostatni-vystupy/Ceske-skolstvi-v-mapach" TargetMode="External"/><Relationship Id="rId42" Type="http://schemas.openxmlformats.org/officeDocument/2006/relationships/hyperlink" Target="https://opvvv.msmt.cz/vyzva/vyzva-c-02-20-082-akcni-planovani-v-uzemi/dokumenty.htm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msmt.cz/file/51582/" TargetMode="External"/><Relationship Id="rId17" Type="http://schemas.openxmlformats.org/officeDocument/2006/relationships/hyperlink" Target="https://opjak.cz/vyzvy/" TargetMode="External"/><Relationship Id="rId25" Type="http://schemas.openxmlformats.org/officeDocument/2006/relationships/hyperlink" Target="https://vedemeskolu.npi.cz/" TargetMode="External"/><Relationship Id="rId33" Type="http://schemas.openxmlformats.org/officeDocument/2006/relationships/hyperlink" Target="https://www.csicr.cz/cz/Aktuality" TargetMode="External"/><Relationship Id="rId38" Type="http://schemas.openxmlformats.org/officeDocument/2006/relationships/hyperlink" Target="https://www.csicr.cz/cz/Aktuality/Tematicka-zprava-%E2%80%93-Spolecne-znaky-vzdelavani-v-usp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opjak.cz/wp-content/uploads/2021/12/OP_JAK_v2.4.pdf" TargetMode="External"/><Relationship Id="rId20" Type="http://schemas.openxmlformats.org/officeDocument/2006/relationships/hyperlink" Target="https://opjak.cz/vyzvy/vyzva-c-02_22_003-sablony-pro-ss-a-vos-i/" TargetMode="External"/><Relationship Id="rId29" Type="http://schemas.openxmlformats.org/officeDocument/2006/relationships/hyperlink" Target="https://www.projektsypo.cz/" TargetMode="External"/><Relationship Id="rId41" Type="http://schemas.openxmlformats.org/officeDocument/2006/relationships/hyperlink" Target="https://www.mapavzdelavani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smt.cz/vzdelavani/skolstvi-v-cr/strategie-2030" TargetMode="External"/><Relationship Id="rId24" Type="http://schemas.openxmlformats.org/officeDocument/2006/relationships/hyperlink" Target="https://zapojmevsechny.cz/kontakty/info-aplikace" TargetMode="External"/><Relationship Id="rId32" Type="http://schemas.openxmlformats.org/officeDocument/2006/relationships/hyperlink" Target="https://www.projektsypo.cz/webinare.html" TargetMode="External"/><Relationship Id="rId37" Type="http://schemas.openxmlformats.org/officeDocument/2006/relationships/hyperlink" Target="https://www.csicr.cz/cz/Aktuality/Tematicka-zprava-%E2%80%93-Vyuzivani-diagnostickych-nastro" TargetMode="External"/><Relationship Id="rId40" Type="http://schemas.openxmlformats.org/officeDocument/2006/relationships/hyperlink" Target="https://www.paqresearch.cz/" TargetMode="External"/><Relationship Id="rId45" Type="http://schemas.openxmlformats.org/officeDocument/2006/relationships/hyperlink" Target="https://www.edusit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lanobnovycr.cz/" TargetMode="External"/><Relationship Id="rId23" Type="http://schemas.openxmlformats.org/officeDocument/2006/relationships/hyperlink" Target="http://www.inkluzevpraxi.cz/" TargetMode="External"/><Relationship Id="rId28" Type="http://schemas.openxmlformats.org/officeDocument/2006/relationships/hyperlink" Target="https://vedemeskolu.npi.cz/wp-content/uploads/2022/01/MANUAL-BENCHLEARNINGU-PRO-SKOLY_compressed.pdf" TargetMode="External"/><Relationship Id="rId36" Type="http://schemas.openxmlformats.org/officeDocument/2006/relationships/hyperlink" Target="https://www.csicr.cz/cz/Aktuality/Prubezna-zprava-o-vyrovnavani-nerovnosti-ve-vzdela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opjak.cz/vyzvy/vyzva-c-02_22_002-sablony-pro-ms-a-zs-i/" TargetMode="External"/><Relationship Id="rId31" Type="http://schemas.openxmlformats.org/officeDocument/2006/relationships/hyperlink" Target="https://www.projektsypo.cz/modely-systemu-podpory-pro-jednotlive-kabinety.html" TargetMode="External"/><Relationship Id="rId44" Type="http://schemas.openxmlformats.org/officeDocument/2006/relationships/hyperlink" Target="https://www.dzs.cz/sites/default/files/2020-08/%C3%BAvod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rXqtU61XHqqro--5mOESo7zwAJKrJ_-q/view" TargetMode="External"/><Relationship Id="rId14" Type="http://schemas.openxmlformats.org/officeDocument/2006/relationships/hyperlink" Target="https://www.edu.cz/npo/" TargetMode="External"/><Relationship Id="rId22" Type="http://schemas.openxmlformats.org/officeDocument/2006/relationships/hyperlink" Target="http://archiv-nuv.npi.cz/p-kap/podpora-inkluze.html" TargetMode="External"/><Relationship Id="rId27" Type="http://schemas.openxmlformats.org/officeDocument/2006/relationships/hyperlink" Target="https://vedemeskolu.npi.cz/wp-content/uploads/2022/01/MANUAL-SRP_compressed.pdf" TargetMode="External"/><Relationship Id="rId30" Type="http://schemas.openxmlformats.org/officeDocument/2006/relationships/hyperlink" Target="https://www.projektsypo.cz/modely-systemu-podpory-pro-jednotlive-kabinety.html" TargetMode="External"/><Relationship Id="rId35" Type="http://schemas.openxmlformats.org/officeDocument/2006/relationships/hyperlink" Target="https://www.csicr.cz/cz/Aktuality/Kvalita-a-efektivita-vzdelavani-a-vzdelavaci-s-(4)" TargetMode="External"/><Relationship Id="rId43" Type="http://schemas.openxmlformats.org/officeDocument/2006/relationships/hyperlink" Target="https://www.dzs.cz/program/erasmus/projekty-granty/neformalni-vzdelavani-mladeze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audit.eduin.cz/2021/analyza-obecna-detail/?analyza_id=305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24242-EAF9-4A4F-BA04-FA068F1C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4699</Words>
  <Characters>27730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46</cp:revision>
  <dcterms:created xsi:type="dcterms:W3CDTF">2022-06-10T15:34:00Z</dcterms:created>
  <dcterms:modified xsi:type="dcterms:W3CDTF">2022-06-21T16:51:00Z</dcterms:modified>
</cp:coreProperties>
</file>